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97C743" w14:textId="77777777" w:rsidR="007D5D2E" w:rsidRDefault="007D5D2E" w:rsidP="007D5D2E">
      <w:pPr>
        <w:jc w:val="both"/>
        <w:rPr>
          <w:sz w:val="24"/>
          <w:szCs w:val="24"/>
        </w:rPr>
      </w:pPr>
      <w:r>
        <w:rPr>
          <w:sz w:val="24"/>
          <w:szCs w:val="24"/>
        </w:rPr>
        <w:t xml:space="preserve">Dobrý den, </w:t>
      </w:r>
    </w:p>
    <w:p w14:paraId="70C3F555" w14:textId="77777777" w:rsidR="007D5D2E" w:rsidRDefault="007D5D2E" w:rsidP="007D5D2E">
      <w:pPr>
        <w:jc w:val="both"/>
        <w:rPr>
          <w:sz w:val="24"/>
          <w:szCs w:val="24"/>
        </w:rPr>
      </w:pPr>
      <w:r>
        <w:rPr>
          <w:sz w:val="24"/>
          <w:szCs w:val="24"/>
        </w:rPr>
        <w:t>zasílám aktuální informace ze zásahu v Hustopečích nad Bečvou.</w:t>
      </w:r>
    </w:p>
    <w:p w14:paraId="28A7AD39" w14:textId="77777777" w:rsidR="007D5D2E" w:rsidRDefault="007D5D2E" w:rsidP="007D5D2E">
      <w:pPr>
        <w:jc w:val="both"/>
        <w:rPr>
          <w:sz w:val="24"/>
          <w:szCs w:val="24"/>
        </w:rPr>
      </w:pPr>
    </w:p>
    <w:p w14:paraId="43AD3A8D" w14:textId="77777777" w:rsidR="007D5D2E" w:rsidRDefault="007D5D2E" w:rsidP="007D5D2E">
      <w:pPr>
        <w:jc w:val="both"/>
        <w:rPr>
          <w:sz w:val="24"/>
          <w:szCs w:val="24"/>
        </w:rPr>
      </w:pPr>
      <w:r>
        <w:rPr>
          <w:sz w:val="24"/>
          <w:szCs w:val="24"/>
        </w:rPr>
        <w:t>HZS Olomouckého kraje zasahuje v Hustopečích nad Bečvou ve čtvrtek 10. dubna po havárii vlaku s cisternami s benzenem. Pokračujeme v činnostech, kterými směřujeme k likvidaci havárie, a to konkrétně:</w:t>
      </w:r>
    </w:p>
    <w:p w14:paraId="67ABFAB4" w14:textId="77777777" w:rsidR="007D5D2E" w:rsidRDefault="007D5D2E" w:rsidP="007D5D2E">
      <w:pPr>
        <w:numPr>
          <w:ilvl w:val="0"/>
          <w:numId w:val="1"/>
        </w:numPr>
        <w:jc w:val="both"/>
        <w:rPr>
          <w:rFonts w:eastAsia="Times New Roman"/>
          <w:sz w:val="24"/>
          <w:szCs w:val="24"/>
        </w:rPr>
      </w:pPr>
      <w:r>
        <w:rPr>
          <w:rFonts w:eastAsia="Times New Roman"/>
          <w:sz w:val="24"/>
          <w:szCs w:val="24"/>
        </w:rPr>
        <w:t xml:space="preserve">probíhá stavba </w:t>
      </w:r>
      <w:proofErr w:type="spellStart"/>
      <w:r>
        <w:rPr>
          <w:rFonts w:eastAsia="Times New Roman"/>
          <w:sz w:val="24"/>
          <w:szCs w:val="24"/>
        </w:rPr>
        <w:t>larssenových</w:t>
      </w:r>
      <w:proofErr w:type="spellEnd"/>
      <w:r>
        <w:rPr>
          <w:rFonts w:eastAsia="Times New Roman"/>
          <w:sz w:val="24"/>
          <w:szCs w:val="24"/>
        </w:rPr>
        <w:t xml:space="preserve"> stěn. To má na starosti specializovaná firma. Fyzická bariéra má obklíčit ohnisko kontaminace a omezit mísení vody z jezera s podzemními vodami. Postaveno je už zhruba 620 metrů, celkově zde bude asi 700 metrů,</w:t>
      </w:r>
    </w:p>
    <w:p w14:paraId="4BBDB02B" w14:textId="77777777" w:rsidR="007D5D2E" w:rsidRDefault="007D5D2E" w:rsidP="007D5D2E">
      <w:pPr>
        <w:numPr>
          <w:ilvl w:val="0"/>
          <w:numId w:val="1"/>
        </w:numPr>
        <w:jc w:val="both"/>
        <w:rPr>
          <w:rFonts w:eastAsia="Times New Roman"/>
          <w:sz w:val="24"/>
          <w:szCs w:val="24"/>
        </w:rPr>
      </w:pPr>
      <w:r>
        <w:rPr>
          <w:rFonts w:eastAsia="Times New Roman"/>
          <w:sz w:val="24"/>
          <w:szCs w:val="24"/>
        </w:rPr>
        <w:t xml:space="preserve">dvě velkokapacitní čerpadla </w:t>
      </w:r>
      <w:proofErr w:type="spellStart"/>
      <w:r>
        <w:rPr>
          <w:rFonts w:eastAsia="Times New Roman"/>
          <w:sz w:val="24"/>
          <w:szCs w:val="24"/>
        </w:rPr>
        <w:t>Hydrosub</w:t>
      </w:r>
      <w:proofErr w:type="spellEnd"/>
      <w:r>
        <w:rPr>
          <w:rFonts w:eastAsia="Times New Roman"/>
          <w:sz w:val="24"/>
          <w:szCs w:val="24"/>
        </w:rPr>
        <w:t xml:space="preserve"> 150 zajišťují přívod vody do monitorů (statických proudnic). Ty vytvářejí vodní mlhu, a tím podporují odpařování benzenu z jezera. Na břehu od rána do večera pracuje 22 monitorů, </w:t>
      </w:r>
    </w:p>
    <w:p w14:paraId="471C4739" w14:textId="77777777" w:rsidR="007D5D2E" w:rsidRDefault="007D5D2E" w:rsidP="007D5D2E">
      <w:pPr>
        <w:numPr>
          <w:ilvl w:val="0"/>
          <w:numId w:val="1"/>
        </w:numPr>
        <w:jc w:val="both"/>
        <w:rPr>
          <w:rFonts w:eastAsia="Times New Roman"/>
          <w:sz w:val="24"/>
          <w:szCs w:val="24"/>
        </w:rPr>
      </w:pPr>
      <w:r>
        <w:rPr>
          <w:rFonts w:eastAsia="Times New Roman"/>
          <w:sz w:val="24"/>
          <w:szCs w:val="24"/>
        </w:rPr>
        <w:t>vodní plochu zabezpečujeme stovkami metrů norných stěn a sorpčních hadů, uniklou látku zachytáváme sorbentem, reagujeme na aktuální požadavky ČIŽP,</w:t>
      </w:r>
    </w:p>
    <w:p w14:paraId="22E53B3D" w14:textId="77777777" w:rsidR="007D5D2E" w:rsidRDefault="007D5D2E" w:rsidP="007D5D2E">
      <w:pPr>
        <w:numPr>
          <w:ilvl w:val="0"/>
          <w:numId w:val="1"/>
        </w:numPr>
        <w:jc w:val="both"/>
        <w:rPr>
          <w:rFonts w:eastAsia="Times New Roman"/>
          <w:sz w:val="24"/>
          <w:szCs w:val="24"/>
        </w:rPr>
      </w:pPr>
      <w:r>
        <w:rPr>
          <w:rFonts w:eastAsia="Times New Roman"/>
          <w:sz w:val="24"/>
          <w:szCs w:val="24"/>
        </w:rPr>
        <w:t>zajišťujeme protipožární opatření u všech prací: místo hlídá výjezdová cisterna, hasič-chemik s detektorem,</w:t>
      </w:r>
    </w:p>
    <w:p w14:paraId="4F1E4B5B" w14:textId="77777777" w:rsidR="007D5D2E" w:rsidRDefault="007D5D2E" w:rsidP="007D5D2E">
      <w:pPr>
        <w:numPr>
          <w:ilvl w:val="0"/>
          <w:numId w:val="1"/>
        </w:numPr>
        <w:jc w:val="both"/>
        <w:rPr>
          <w:rFonts w:eastAsia="Times New Roman"/>
          <w:sz w:val="24"/>
          <w:szCs w:val="24"/>
        </w:rPr>
      </w:pPr>
      <w:r>
        <w:rPr>
          <w:rFonts w:eastAsia="Times New Roman"/>
          <w:sz w:val="24"/>
          <w:szCs w:val="24"/>
        </w:rPr>
        <w:t>měříme koncentrace v okolí v pravidelných intervalech, nadále s negativními výsledky,</w:t>
      </w:r>
    </w:p>
    <w:p w14:paraId="583DC4BD" w14:textId="77777777" w:rsidR="007D5D2E" w:rsidRDefault="007D5D2E" w:rsidP="007D5D2E">
      <w:pPr>
        <w:numPr>
          <w:ilvl w:val="0"/>
          <w:numId w:val="1"/>
        </w:numPr>
        <w:jc w:val="both"/>
        <w:rPr>
          <w:rFonts w:eastAsia="Times New Roman"/>
          <w:sz w:val="24"/>
          <w:szCs w:val="24"/>
        </w:rPr>
      </w:pPr>
      <w:r>
        <w:rPr>
          <w:rFonts w:eastAsia="Times New Roman"/>
          <w:sz w:val="24"/>
          <w:szCs w:val="24"/>
        </w:rPr>
        <w:t xml:space="preserve">probíhá intenzivní čerpání podzemní kontaminované vody z vystrojených hlubinných sond, které zajišťuje firma </w:t>
      </w:r>
      <w:proofErr w:type="spellStart"/>
      <w:r>
        <w:rPr>
          <w:rFonts w:eastAsia="Times New Roman"/>
          <w:sz w:val="24"/>
          <w:szCs w:val="24"/>
        </w:rPr>
        <w:t>Dekonta</w:t>
      </w:r>
      <w:proofErr w:type="spellEnd"/>
      <w:r>
        <w:rPr>
          <w:rFonts w:eastAsia="Times New Roman"/>
          <w:sz w:val="24"/>
          <w:szCs w:val="24"/>
        </w:rPr>
        <w:t xml:space="preserve">. Ta také prováděla další hydrogeologické vrty. </w:t>
      </w:r>
    </w:p>
    <w:p w14:paraId="54B168F7" w14:textId="77777777" w:rsidR="007D5D2E" w:rsidRDefault="007D5D2E" w:rsidP="007D5D2E">
      <w:pPr>
        <w:pStyle w:val="Odstavecseseznamem"/>
        <w:jc w:val="both"/>
        <w:rPr>
          <w:sz w:val="24"/>
          <w:szCs w:val="24"/>
        </w:rPr>
      </w:pPr>
    </w:p>
    <w:p w14:paraId="3514B18F" w14:textId="77777777" w:rsidR="007D5D2E" w:rsidRDefault="007D5D2E" w:rsidP="007D5D2E">
      <w:pPr>
        <w:jc w:val="both"/>
        <w:rPr>
          <w:sz w:val="24"/>
          <w:szCs w:val="24"/>
        </w:rPr>
      </w:pPr>
      <w:r>
        <w:rPr>
          <w:sz w:val="24"/>
          <w:szCs w:val="24"/>
        </w:rPr>
        <w:t>Celkově na místě pracuje 17 hasičů a policistů.</w:t>
      </w:r>
    </w:p>
    <w:p w14:paraId="75EC8F04" w14:textId="77777777" w:rsidR="007D5D2E" w:rsidRDefault="007D5D2E" w:rsidP="007D5D2E">
      <w:pPr>
        <w:jc w:val="both"/>
        <w:rPr>
          <w:sz w:val="24"/>
          <w:szCs w:val="24"/>
        </w:rPr>
      </w:pPr>
    </w:p>
    <w:p w14:paraId="0F378504" w14:textId="77777777" w:rsidR="007D5D2E" w:rsidRDefault="007D5D2E" w:rsidP="007D5D2E">
      <w:pPr>
        <w:jc w:val="both"/>
        <w:rPr>
          <w:sz w:val="24"/>
          <w:szCs w:val="24"/>
        </w:rPr>
      </w:pPr>
      <w:r>
        <w:rPr>
          <w:sz w:val="24"/>
          <w:szCs w:val="24"/>
        </w:rPr>
        <w:t>Spolupracujeme s ČIŽP, KHS Olomouckého kraje, místními samosprávami, PČR, drážními hasiči a ZÚ HZS ČR.</w:t>
      </w:r>
    </w:p>
    <w:p w14:paraId="5FF6A7F8" w14:textId="77777777" w:rsidR="007D5D2E" w:rsidRDefault="007D5D2E" w:rsidP="007D5D2E">
      <w:pPr>
        <w:pStyle w:val="Normlnweb"/>
        <w:jc w:val="both"/>
        <w:rPr>
          <w:rStyle w:val="Siln"/>
          <w:i/>
          <w:iCs/>
        </w:rPr>
      </w:pPr>
      <w:r>
        <w:rPr>
          <w:rStyle w:val="Siln"/>
          <w:rFonts w:ascii="Calibri" w:hAnsi="Calibri" w:cs="Calibri"/>
          <w:i/>
          <w:iCs/>
        </w:rPr>
        <w:t xml:space="preserve">Vyjádření ČIŽP k 17:00 9. dubna: </w:t>
      </w:r>
    </w:p>
    <w:p w14:paraId="1496B3CE" w14:textId="77777777" w:rsidR="007D5D2E" w:rsidRDefault="007D5D2E" w:rsidP="007D5D2E">
      <w:pPr>
        <w:pStyle w:val="Normlnweb"/>
        <w:jc w:val="both"/>
        <w:rPr>
          <w:rStyle w:val="Siln"/>
          <w:rFonts w:ascii="Calibri" w:hAnsi="Calibri" w:cs="Calibri"/>
          <w:b w:val="0"/>
          <w:bCs w:val="0"/>
          <w:i/>
          <w:iCs/>
        </w:rPr>
      </w:pPr>
      <w:r>
        <w:rPr>
          <w:rStyle w:val="Siln"/>
          <w:rFonts w:ascii="Calibri" w:hAnsi="Calibri" w:cs="Calibri"/>
          <w:b w:val="0"/>
          <w:bCs w:val="0"/>
          <w:i/>
          <w:iCs/>
        </w:rPr>
        <w:t xml:space="preserve">Situace ve vodní nádrži č. 6 je v současné době stabilizovaná, koncentrace benzenu jsou ve většině odběrových míst podlimitní. V souvislosti s havárií byl doposud zaznamenám úhyn asi patnácti ryb. Dále probíhá odčerpávání kontaminovaných podzemních vod a provzdušňování vodní nádrže. Tento týden by měla být dokončena výstavba </w:t>
      </w:r>
      <w:proofErr w:type="spellStart"/>
      <w:r>
        <w:rPr>
          <w:rStyle w:val="Siln"/>
          <w:rFonts w:ascii="Calibri" w:hAnsi="Calibri" w:cs="Calibri"/>
          <w:b w:val="0"/>
          <w:bCs w:val="0"/>
          <w:i/>
          <w:iCs/>
        </w:rPr>
        <w:t>larssenové</w:t>
      </w:r>
      <w:proofErr w:type="spellEnd"/>
      <w:r>
        <w:rPr>
          <w:rStyle w:val="Siln"/>
          <w:rFonts w:ascii="Calibri" w:hAnsi="Calibri" w:cs="Calibri"/>
          <w:b w:val="0"/>
          <w:bCs w:val="0"/>
          <w:i/>
          <w:iCs/>
        </w:rPr>
        <w:t xml:space="preserve"> stěny. </w:t>
      </w:r>
    </w:p>
    <w:p w14:paraId="747CB016" w14:textId="77777777" w:rsidR="007D5D2E" w:rsidRDefault="007D5D2E" w:rsidP="007D5D2E">
      <w:pPr>
        <w:jc w:val="both"/>
        <w:rPr>
          <w:sz w:val="24"/>
          <w:szCs w:val="24"/>
        </w:rPr>
      </w:pPr>
      <w:r>
        <w:rPr>
          <w:rStyle w:val="Zdraznn"/>
          <w:b/>
          <w:bCs/>
          <w:sz w:val="24"/>
          <w:szCs w:val="24"/>
        </w:rPr>
        <w:t>Vyjádření KHS Olomouckého kraje k 17:00 9. dubna:</w:t>
      </w:r>
      <w:r>
        <w:rPr>
          <w:i/>
          <w:iCs/>
          <w:sz w:val="24"/>
          <w:szCs w:val="24"/>
        </w:rPr>
        <w:t xml:space="preserve"> </w:t>
      </w:r>
    </w:p>
    <w:p w14:paraId="6E7C3C6B" w14:textId="77777777" w:rsidR="007D5D2E" w:rsidRDefault="007D5D2E" w:rsidP="007D5D2E">
      <w:pPr>
        <w:jc w:val="both"/>
        <w:rPr>
          <w:i/>
          <w:iCs/>
          <w:sz w:val="24"/>
          <w:szCs w:val="24"/>
        </w:rPr>
      </w:pPr>
      <w:r>
        <w:rPr>
          <w:i/>
          <w:iCs/>
          <w:sz w:val="24"/>
          <w:szCs w:val="24"/>
        </w:rPr>
        <w:t>Krajská hygienická stanice Olomouckého kraje se sídlem v Olomouci (KHS) pokračuje v intenzivní komunikaci se subjekty, které provádí sanační práce ve vymezeném území z hlediska oblasti ochrany zdraví při práci.</w:t>
      </w:r>
    </w:p>
    <w:p w14:paraId="2F26BB99" w14:textId="77777777" w:rsidR="007D5D2E" w:rsidRDefault="007D5D2E" w:rsidP="007D5D2E">
      <w:pPr>
        <w:jc w:val="both"/>
        <w:rPr>
          <w:i/>
          <w:iCs/>
          <w:sz w:val="24"/>
          <w:szCs w:val="24"/>
        </w:rPr>
      </w:pPr>
      <w:r>
        <w:rPr>
          <w:i/>
          <w:iCs/>
          <w:sz w:val="24"/>
          <w:szCs w:val="24"/>
        </w:rPr>
        <w:t>V úterý 8. 4. 2025  pokračovala KHS ve spolupráci se Zdravotním ústavem se sídlem v Ostravě (ZÚ)  za účelem  zajištění ochrany veřejného zdraví před nejakostní pitnou vodou, v rámci preventivního monitoringu zaměřeného na přítomnost benzenu a jeho derivátů xylenu a toluenu v pitné vodě,  v realizaci odběrů vzorků vod z vytipovaných studní v Hustopečích nad Bečvou a z vodovodů pro veřejnou potřebu (skupinový vodovod Záhoří, vodovod pro veřejnou potřebu Hustopeče nad Bečvou, vodovod zajišťující pitnou vodou pro lázně Teplice nad Bečvou) dodávajících pitnou vodu pro více jak 10 000 spotřebitelů. Z výsledků provedených analýz v laboratořích ZÚ vyplývá, že v pitné vodě monitorovaných domovních studní a 3 sledovaných vodovodech nebyl benzen a jeho deriváty zjištěny (mez stanovitelnosti odpovídá hodnotě 0,5 µg/l, limit benzenu 1 µg/</w:t>
      </w:r>
      <w:proofErr w:type="gramStart"/>
      <w:r>
        <w:rPr>
          <w:i/>
          <w:iCs/>
          <w:sz w:val="24"/>
          <w:szCs w:val="24"/>
        </w:rPr>
        <w:t>l )</w:t>
      </w:r>
      <w:proofErr w:type="gramEnd"/>
      <w:r>
        <w:rPr>
          <w:i/>
          <w:iCs/>
          <w:sz w:val="24"/>
          <w:szCs w:val="24"/>
        </w:rPr>
        <w:t>. KHS je nadále v kontaktu s provozovateli vodovodů a úpravny vody Porubská brána, kteří zajišťují vzorkování vody surové.</w:t>
      </w:r>
    </w:p>
    <w:p w14:paraId="7BF7B79E" w14:textId="77777777" w:rsidR="007D5D2E" w:rsidRDefault="007D5D2E" w:rsidP="007D5D2E">
      <w:pPr>
        <w:jc w:val="both"/>
        <w:rPr>
          <w:rStyle w:val="Hypertextovodkaz"/>
        </w:rPr>
      </w:pPr>
      <w:r>
        <w:rPr>
          <w:i/>
          <w:iCs/>
          <w:sz w:val="24"/>
          <w:szCs w:val="24"/>
        </w:rPr>
        <w:lastRenderedPageBreak/>
        <w:t xml:space="preserve">Výsledky laboratorních analýz pitné vody lze nalézt na: </w:t>
      </w:r>
      <w:hyperlink r:id="rId5" w:history="1">
        <w:r>
          <w:rPr>
            <w:rStyle w:val="Hypertextovodkaz"/>
            <w:i/>
            <w:iCs/>
            <w:sz w:val="24"/>
            <w:szCs w:val="24"/>
          </w:rPr>
          <w:t xml:space="preserve">Hustopeče nad </w:t>
        </w:r>
        <w:proofErr w:type="gramStart"/>
        <w:r>
          <w:rPr>
            <w:rStyle w:val="Hypertextovodkaz"/>
            <w:i/>
            <w:iCs/>
            <w:sz w:val="24"/>
            <w:szCs w:val="24"/>
          </w:rPr>
          <w:t>Bečvou - havárie</w:t>
        </w:r>
        <w:proofErr w:type="gramEnd"/>
        <w:r>
          <w:rPr>
            <w:rStyle w:val="Hypertextovodkaz"/>
            <w:i/>
            <w:iCs/>
            <w:sz w:val="24"/>
            <w:szCs w:val="24"/>
          </w:rPr>
          <w:t xml:space="preserve"> 28. 2. 2025</w:t>
        </w:r>
      </w:hyperlink>
    </w:p>
    <w:p w14:paraId="694C1CD6" w14:textId="77777777" w:rsidR="007D5D2E" w:rsidRDefault="007D5D2E" w:rsidP="007D5D2E">
      <w:pPr>
        <w:jc w:val="both"/>
        <w:rPr>
          <w:rStyle w:val="Hypertextovodkaz"/>
          <w:i/>
          <w:iCs/>
        </w:rPr>
      </w:pPr>
    </w:p>
    <w:p w14:paraId="27FB2213" w14:textId="77777777" w:rsidR="007D5D2E" w:rsidRDefault="007D5D2E" w:rsidP="007D5D2E">
      <w:pPr>
        <w:jc w:val="both"/>
        <w:rPr>
          <w:rStyle w:val="Siln"/>
        </w:rPr>
      </w:pPr>
      <w:r>
        <w:rPr>
          <w:rStyle w:val="Siln"/>
        </w:rPr>
        <w:t>Výsledky laboratorních analýz pitné vody:</w:t>
      </w:r>
    </w:p>
    <w:p w14:paraId="6856EEB1" w14:textId="77777777" w:rsidR="007D5D2E" w:rsidRDefault="007D5D2E" w:rsidP="007D5D2E">
      <w:pPr>
        <w:jc w:val="both"/>
        <w:rPr>
          <w:i/>
          <w:iCs/>
          <w:sz w:val="24"/>
          <w:szCs w:val="24"/>
        </w:rPr>
      </w:pPr>
    </w:p>
    <w:tbl>
      <w:tblPr>
        <w:tblW w:w="0" w:type="auto"/>
        <w:tblCellSpacing w:w="15" w:type="dxa"/>
        <w:tblBorders>
          <w:top w:val="single" w:sz="8" w:space="0" w:color="auto"/>
          <w:left w:val="single" w:sz="8" w:space="0" w:color="auto"/>
          <w:bottom w:val="single" w:sz="8" w:space="0" w:color="auto"/>
          <w:right w:val="single" w:sz="8" w:space="0" w:color="auto"/>
        </w:tblBorders>
        <w:tblCellMar>
          <w:left w:w="0" w:type="dxa"/>
          <w:right w:w="0" w:type="dxa"/>
        </w:tblCellMar>
        <w:tblLook w:val="04A0" w:firstRow="1" w:lastRow="0" w:firstColumn="1" w:lastColumn="0" w:noHBand="0" w:noVBand="1"/>
      </w:tblPr>
      <w:tblGrid>
        <w:gridCol w:w="1329"/>
        <w:gridCol w:w="1676"/>
        <w:gridCol w:w="1236"/>
        <w:gridCol w:w="1262"/>
        <w:gridCol w:w="3549"/>
      </w:tblGrid>
      <w:tr w:rsidR="007D5D2E" w14:paraId="55552129" w14:textId="77777777" w:rsidTr="007D5D2E">
        <w:trPr>
          <w:tblCellSpacing w:w="15" w:type="dxa"/>
        </w:trPr>
        <w:tc>
          <w:tcPr>
            <w:tcW w:w="0" w:type="auto"/>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hideMark/>
          </w:tcPr>
          <w:p w14:paraId="6A0FFA8D" w14:textId="77777777" w:rsidR="007D5D2E" w:rsidRDefault="007D5D2E">
            <w:pPr>
              <w:spacing w:line="252" w:lineRule="auto"/>
              <w:rPr>
                <w:rFonts w:ascii="Times New Roman" w:hAnsi="Times New Roman" w:cs="Times New Roman"/>
                <w:sz w:val="24"/>
                <w:szCs w:val="24"/>
                <w:lang w:eastAsia="cs-CZ"/>
              </w:rPr>
            </w:pPr>
            <w:r>
              <w:rPr>
                <w:rFonts w:ascii="Times New Roman" w:hAnsi="Times New Roman" w:cs="Times New Roman"/>
                <w:sz w:val="24"/>
                <w:szCs w:val="24"/>
                <w:lang w:eastAsia="cs-CZ"/>
              </w:rPr>
              <w:t>Datum odběru</w:t>
            </w:r>
          </w:p>
        </w:tc>
        <w:tc>
          <w:tcPr>
            <w:tcW w:w="0" w:type="auto"/>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hideMark/>
          </w:tcPr>
          <w:p w14:paraId="020BF5E7" w14:textId="77777777" w:rsidR="007D5D2E" w:rsidRDefault="007D5D2E">
            <w:pPr>
              <w:spacing w:line="252" w:lineRule="auto"/>
              <w:rPr>
                <w:rFonts w:ascii="Times New Roman" w:hAnsi="Times New Roman" w:cs="Times New Roman"/>
                <w:sz w:val="24"/>
                <w:szCs w:val="24"/>
                <w:lang w:eastAsia="cs-CZ"/>
              </w:rPr>
            </w:pPr>
            <w:r>
              <w:rPr>
                <w:rFonts w:ascii="Times New Roman" w:hAnsi="Times New Roman" w:cs="Times New Roman"/>
                <w:sz w:val="24"/>
                <w:szCs w:val="24"/>
                <w:lang w:eastAsia="cs-CZ"/>
              </w:rPr>
              <w:t>Odběrové místo č.</w:t>
            </w:r>
          </w:p>
        </w:tc>
        <w:tc>
          <w:tcPr>
            <w:tcW w:w="0" w:type="auto"/>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hideMark/>
          </w:tcPr>
          <w:p w14:paraId="1FE54A01" w14:textId="77777777" w:rsidR="007D5D2E" w:rsidRDefault="007D5D2E">
            <w:pPr>
              <w:spacing w:line="252" w:lineRule="auto"/>
              <w:rPr>
                <w:rFonts w:ascii="Times New Roman" w:hAnsi="Times New Roman" w:cs="Times New Roman"/>
                <w:sz w:val="24"/>
                <w:szCs w:val="24"/>
                <w:lang w:eastAsia="cs-CZ"/>
              </w:rPr>
            </w:pPr>
            <w:r>
              <w:rPr>
                <w:rFonts w:ascii="Times New Roman" w:hAnsi="Times New Roman" w:cs="Times New Roman"/>
                <w:sz w:val="24"/>
                <w:szCs w:val="24"/>
                <w:lang w:eastAsia="cs-CZ"/>
              </w:rPr>
              <w:t>Limit (</w:t>
            </w:r>
            <w:proofErr w:type="spellStart"/>
            <w:r>
              <w:rPr>
                <w:rFonts w:ascii="Times New Roman" w:hAnsi="Times New Roman" w:cs="Times New Roman"/>
                <w:sz w:val="24"/>
                <w:szCs w:val="24"/>
                <w:lang w:eastAsia="cs-CZ"/>
              </w:rPr>
              <w:t>μg</w:t>
            </w:r>
            <w:proofErr w:type="spellEnd"/>
            <w:r>
              <w:rPr>
                <w:rFonts w:ascii="Times New Roman" w:hAnsi="Times New Roman" w:cs="Times New Roman"/>
                <w:sz w:val="24"/>
                <w:szCs w:val="24"/>
                <w:lang w:eastAsia="cs-CZ"/>
              </w:rPr>
              <w:t>/l)</w:t>
            </w:r>
          </w:p>
        </w:tc>
        <w:tc>
          <w:tcPr>
            <w:tcW w:w="0" w:type="auto"/>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hideMark/>
          </w:tcPr>
          <w:p w14:paraId="3A54CCDA" w14:textId="77777777" w:rsidR="007D5D2E" w:rsidRDefault="007D5D2E">
            <w:pPr>
              <w:spacing w:line="252" w:lineRule="auto"/>
              <w:rPr>
                <w:rFonts w:ascii="Times New Roman" w:hAnsi="Times New Roman" w:cs="Times New Roman"/>
                <w:sz w:val="24"/>
                <w:szCs w:val="24"/>
                <w:lang w:eastAsia="cs-CZ"/>
              </w:rPr>
            </w:pPr>
            <w:r>
              <w:rPr>
                <w:rFonts w:ascii="Times New Roman" w:hAnsi="Times New Roman" w:cs="Times New Roman"/>
                <w:sz w:val="24"/>
                <w:szCs w:val="24"/>
                <w:lang w:eastAsia="cs-CZ"/>
              </w:rPr>
              <w:t>Nález (</w:t>
            </w:r>
            <w:proofErr w:type="spellStart"/>
            <w:r>
              <w:rPr>
                <w:rFonts w:ascii="Times New Roman" w:hAnsi="Times New Roman" w:cs="Times New Roman"/>
                <w:sz w:val="24"/>
                <w:szCs w:val="24"/>
                <w:lang w:eastAsia="cs-CZ"/>
              </w:rPr>
              <w:t>μg</w:t>
            </w:r>
            <w:proofErr w:type="spellEnd"/>
            <w:r>
              <w:rPr>
                <w:rFonts w:ascii="Times New Roman" w:hAnsi="Times New Roman" w:cs="Times New Roman"/>
                <w:sz w:val="24"/>
                <w:szCs w:val="24"/>
                <w:lang w:eastAsia="cs-CZ"/>
              </w:rPr>
              <w:t>/l)</w:t>
            </w:r>
          </w:p>
        </w:tc>
        <w:tc>
          <w:tcPr>
            <w:tcW w:w="0" w:type="auto"/>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hideMark/>
          </w:tcPr>
          <w:p w14:paraId="6243926C" w14:textId="77777777" w:rsidR="007D5D2E" w:rsidRDefault="007D5D2E">
            <w:pPr>
              <w:spacing w:line="252" w:lineRule="auto"/>
              <w:rPr>
                <w:rFonts w:ascii="Times New Roman" w:hAnsi="Times New Roman" w:cs="Times New Roman"/>
                <w:sz w:val="24"/>
                <w:szCs w:val="24"/>
                <w:lang w:eastAsia="cs-CZ"/>
              </w:rPr>
            </w:pPr>
            <w:r>
              <w:rPr>
                <w:rFonts w:ascii="Times New Roman" w:hAnsi="Times New Roman" w:cs="Times New Roman"/>
                <w:sz w:val="24"/>
                <w:szCs w:val="24"/>
                <w:lang w:eastAsia="cs-CZ"/>
              </w:rPr>
              <w:t>Poznámka</w:t>
            </w:r>
          </w:p>
        </w:tc>
      </w:tr>
      <w:tr w:rsidR="007D5D2E" w14:paraId="10BD7DA5" w14:textId="77777777" w:rsidTr="007D5D2E">
        <w:trPr>
          <w:tblCellSpacing w:w="15" w:type="dxa"/>
        </w:trPr>
        <w:tc>
          <w:tcPr>
            <w:tcW w:w="0" w:type="auto"/>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hideMark/>
          </w:tcPr>
          <w:p w14:paraId="3DE5F943" w14:textId="77777777" w:rsidR="007D5D2E" w:rsidRDefault="007D5D2E">
            <w:pPr>
              <w:spacing w:line="252" w:lineRule="auto"/>
              <w:rPr>
                <w:rFonts w:ascii="Times New Roman" w:hAnsi="Times New Roman" w:cs="Times New Roman"/>
                <w:sz w:val="24"/>
                <w:szCs w:val="24"/>
                <w:lang w:eastAsia="cs-CZ"/>
              </w:rPr>
            </w:pPr>
            <w:r>
              <w:rPr>
                <w:rFonts w:ascii="Times New Roman" w:hAnsi="Times New Roman" w:cs="Times New Roman"/>
                <w:sz w:val="24"/>
                <w:szCs w:val="24"/>
                <w:lang w:eastAsia="cs-CZ"/>
              </w:rPr>
              <w:t>5. 3. 2025</w:t>
            </w:r>
          </w:p>
        </w:tc>
        <w:tc>
          <w:tcPr>
            <w:tcW w:w="0" w:type="auto"/>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hideMark/>
          </w:tcPr>
          <w:p w14:paraId="3A98513D" w14:textId="77777777" w:rsidR="007D5D2E" w:rsidRDefault="007D5D2E">
            <w:pPr>
              <w:spacing w:line="252" w:lineRule="auto"/>
              <w:rPr>
                <w:rFonts w:ascii="Times New Roman" w:hAnsi="Times New Roman" w:cs="Times New Roman"/>
                <w:sz w:val="24"/>
                <w:szCs w:val="24"/>
                <w:lang w:eastAsia="cs-CZ"/>
              </w:rPr>
            </w:pPr>
            <w:r>
              <w:rPr>
                <w:rFonts w:ascii="Times New Roman" w:hAnsi="Times New Roman" w:cs="Times New Roman"/>
                <w:sz w:val="24"/>
                <w:szCs w:val="24"/>
                <w:lang w:eastAsia="cs-CZ"/>
              </w:rPr>
              <w:t>1</w:t>
            </w:r>
          </w:p>
        </w:tc>
        <w:tc>
          <w:tcPr>
            <w:tcW w:w="0" w:type="auto"/>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hideMark/>
          </w:tcPr>
          <w:p w14:paraId="00715918" w14:textId="77777777" w:rsidR="007D5D2E" w:rsidRDefault="007D5D2E">
            <w:pPr>
              <w:spacing w:line="252" w:lineRule="auto"/>
              <w:rPr>
                <w:rFonts w:ascii="Times New Roman" w:hAnsi="Times New Roman" w:cs="Times New Roman"/>
                <w:sz w:val="24"/>
                <w:szCs w:val="24"/>
                <w:lang w:eastAsia="cs-CZ"/>
              </w:rPr>
            </w:pPr>
            <w:r>
              <w:rPr>
                <w:rFonts w:ascii="Times New Roman" w:hAnsi="Times New Roman" w:cs="Times New Roman"/>
                <w:sz w:val="24"/>
                <w:szCs w:val="24"/>
                <w:lang w:eastAsia="cs-CZ"/>
              </w:rPr>
              <w:t>1</w:t>
            </w:r>
          </w:p>
        </w:tc>
        <w:tc>
          <w:tcPr>
            <w:tcW w:w="0" w:type="auto"/>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hideMark/>
          </w:tcPr>
          <w:p w14:paraId="1773AF95" w14:textId="77777777" w:rsidR="007D5D2E" w:rsidRDefault="007D5D2E">
            <w:pPr>
              <w:spacing w:line="252" w:lineRule="auto"/>
              <w:rPr>
                <w:rFonts w:ascii="Times New Roman" w:hAnsi="Times New Roman" w:cs="Times New Roman"/>
                <w:sz w:val="24"/>
                <w:szCs w:val="24"/>
                <w:lang w:eastAsia="cs-CZ"/>
              </w:rPr>
            </w:pPr>
            <w:r>
              <w:rPr>
                <w:rFonts w:ascii="Times New Roman" w:hAnsi="Times New Roman" w:cs="Times New Roman"/>
                <w:sz w:val="24"/>
                <w:szCs w:val="24"/>
                <w:lang w:eastAsia="cs-CZ"/>
              </w:rPr>
              <w:t>0,9</w:t>
            </w:r>
          </w:p>
        </w:tc>
        <w:tc>
          <w:tcPr>
            <w:tcW w:w="0" w:type="auto"/>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hideMark/>
          </w:tcPr>
          <w:p w14:paraId="4C23B402" w14:textId="77777777" w:rsidR="007D5D2E" w:rsidRDefault="007D5D2E">
            <w:pPr>
              <w:spacing w:line="252" w:lineRule="auto"/>
              <w:rPr>
                <w:rFonts w:ascii="Times New Roman" w:hAnsi="Times New Roman" w:cs="Times New Roman"/>
                <w:sz w:val="24"/>
                <w:szCs w:val="24"/>
                <w:lang w:eastAsia="cs-CZ"/>
              </w:rPr>
            </w:pPr>
            <w:r>
              <w:rPr>
                <w:rFonts w:ascii="Times New Roman" w:hAnsi="Times New Roman" w:cs="Times New Roman"/>
                <w:sz w:val="24"/>
                <w:szCs w:val="24"/>
                <w:lang w:eastAsia="cs-CZ"/>
              </w:rPr>
              <w:t xml:space="preserve">pro hodnocení podpůrně využito vyhlášky </w:t>
            </w:r>
            <w:r>
              <w:rPr>
                <w:rFonts w:ascii="Times New Roman" w:hAnsi="Times New Roman" w:cs="Times New Roman"/>
                <w:sz w:val="24"/>
                <w:szCs w:val="24"/>
                <w:lang w:eastAsia="cs-CZ"/>
              </w:rPr>
              <w:br/>
              <w:t>č. 252/2004 Sb.</w:t>
            </w:r>
          </w:p>
        </w:tc>
      </w:tr>
      <w:tr w:rsidR="007D5D2E" w14:paraId="0CFAE717" w14:textId="77777777" w:rsidTr="007D5D2E">
        <w:trPr>
          <w:tblCellSpacing w:w="15" w:type="dxa"/>
        </w:trPr>
        <w:tc>
          <w:tcPr>
            <w:tcW w:w="0" w:type="auto"/>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hideMark/>
          </w:tcPr>
          <w:p w14:paraId="5089D4B1" w14:textId="77777777" w:rsidR="007D5D2E" w:rsidRDefault="007D5D2E">
            <w:pPr>
              <w:spacing w:line="252" w:lineRule="auto"/>
              <w:rPr>
                <w:rFonts w:ascii="Times New Roman" w:hAnsi="Times New Roman" w:cs="Times New Roman"/>
                <w:sz w:val="24"/>
                <w:szCs w:val="24"/>
                <w:lang w:eastAsia="cs-CZ"/>
              </w:rPr>
            </w:pPr>
            <w:r>
              <w:rPr>
                <w:rFonts w:ascii="Times New Roman" w:hAnsi="Times New Roman" w:cs="Times New Roman"/>
                <w:sz w:val="24"/>
                <w:szCs w:val="24"/>
                <w:lang w:eastAsia="cs-CZ"/>
              </w:rPr>
              <w:t> </w:t>
            </w:r>
          </w:p>
        </w:tc>
        <w:tc>
          <w:tcPr>
            <w:tcW w:w="0" w:type="auto"/>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hideMark/>
          </w:tcPr>
          <w:p w14:paraId="52B17B84" w14:textId="77777777" w:rsidR="007D5D2E" w:rsidRDefault="007D5D2E">
            <w:pPr>
              <w:spacing w:line="252" w:lineRule="auto"/>
              <w:rPr>
                <w:rFonts w:ascii="Times New Roman" w:hAnsi="Times New Roman" w:cs="Times New Roman"/>
                <w:sz w:val="24"/>
                <w:szCs w:val="24"/>
                <w:lang w:eastAsia="cs-CZ"/>
              </w:rPr>
            </w:pPr>
            <w:r>
              <w:rPr>
                <w:rFonts w:ascii="Times New Roman" w:hAnsi="Times New Roman" w:cs="Times New Roman"/>
                <w:sz w:val="24"/>
                <w:szCs w:val="24"/>
                <w:lang w:eastAsia="cs-CZ"/>
              </w:rPr>
              <w:t>2, 3, 5, 6</w:t>
            </w:r>
          </w:p>
        </w:tc>
        <w:tc>
          <w:tcPr>
            <w:tcW w:w="0" w:type="auto"/>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hideMark/>
          </w:tcPr>
          <w:p w14:paraId="7DDC6266" w14:textId="77777777" w:rsidR="007D5D2E" w:rsidRDefault="007D5D2E">
            <w:pPr>
              <w:spacing w:line="252" w:lineRule="auto"/>
              <w:rPr>
                <w:rFonts w:ascii="Times New Roman" w:hAnsi="Times New Roman" w:cs="Times New Roman"/>
                <w:sz w:val="24"/>
                <w:szCs w:val="24"/>
                <w:lang w:eastAsia="cs-CZ"/>
              </w:rPr>
            </w:pPr>
            <w:r>
              <w:rPr>
                <w:rFonts w:ascii="Times New Roman" w:hAnsi="Times New Roman" w:cs="Times New Roman"/>
                <w:sz w:val="24"/>
                <w:szCs w:val="24"/>
                <w:lang w:eastAsia="cs-CZ"/>
              </w:rPr>
              <w:t>1</w:t>
            </w:r>
          </w:p>
        </w:tc>
        <w:tc>
          <w:tcPr>
            <w:tcW w:w="0" w:type="auto"/>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hideMark/>
          </w:tcPr>
          <w:p w14:paraId="0AB7CF08" w14:textId="77777777" w:rsidR="007D5D2E" w:rsidRDefault="007D5D2E">
            <w:pPr>
              <w:spacing w:line="252" w:lineRule="auto"/>
              <w:rPr>
                <w:rFonts w:ascii="Times New Roman" w:hAnsi="Times New Roman" w:cs="Times New Roman"/>
                <w:sz w:val="24"/>
                <w:szCs w:val="24"/>
                <w:lang w:eastAsia="cs-CZ"/>
              </w:rPr>
            </w:pPr>
            <w:r>
              <w:rPr>
                <w:rFonts w:ascii="Times New Roman" w:hAnsi="Times New Roman" w:cs="Times New Roman"/>
                <w:sz w:val="24"/>
                <w:szCs w:val="24"/>
                <w:lang w:eastAsia="cs-CZ"/>
              </w:rPr>
              <w:t>&lt;0,5</w:t>
            </w:r>
          </w:p>
        </w:tc>
        <w:tc>
          <w:tcPr>
            <w:tcW w:w="0" w:type="auto"/>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hideMark/>
          </w:tcPr>
          <w:p w14:paraId="488E0FA4" w14:textId="77777777" w:rsidR="007D5D2E" w:rsidRDefault="007D5D2E">
            <w:pPr>
              <w:spacing w:line="252" w:lineRule="auto"/>
              <w:rPr>
                <w:rFonts w:ascii="Times New Roman" w:hAnsi="Times New Roman" w:cs="Times New Roman"/>
                <w:sz w:val="24"/>
                <w:szCs w:val="24"/>
                <w:lang w:eastAsia="cs-CZ"/>
              </w:rPr>
            </w:pPr>
            <w:r>
              <w:rPr>
                <w:rFonts w:ascii="Times New Roman" w:hAnsi="Times New Roman" w:cs="Times New Roman"/>
                <w:sz w:val="24"/>
                <w:szCs w:val="24"/>
                <w:lang w:eastAsia="cs-CZ"/>
              </w:rPr>
              <w:t>pod mezí stanovitelnosti</w:t>
            </w:r>
          </w:p>
        </w:tc>
      </w:tr>
      <w:tr w:rsidR="007D5D2E" w14:paraId="6C77B070" w14:textId="77777777" w:rsidTr="007D5D2E">
        <w:trPr>
          <w:tblCellSpacing w:w="15" w:type="dxa"/>
        </w:trPr>
        <w:tc>
          <w:tcPr>
            <w:tcW w:w="0" w:type="auto"/>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hideMark/>
          </w:tcPr>
          <w:p w14:paraId="10800F09" w14:textId="77777777" w:rsidR="007D5D2E" w:rsidRDefault="007D5D2E">
            <w:pPr>
              <w:spacing w:line="252" w:lineRule="auto"/>
              <w:rPr>
                <w:rFonts w:ascii="Times New Roman" w:hAnsi="Times New Roman" w:cs="Times New Roman"/>
                <w:sz w:val="24"/>
                <w:szCs w:val="24"/>
                <w:lang w:eastAsia="cs-CZ"/>
              </w:rPr>
            </w:pPr>
            <w:r>
              <w:rPr>
                <w:rFonts w:ascii="Times New Roman" w:hAnsi="Times New Roman" w:cs="Times New Roman"/>
                <w:sz w:val="24"/>
                <w:szCs w:val="24"/>
                <w:lang w:eastAsia="cs-CZ"/>
              </w:rPr>
              <w:t>7. 3. 2025</w:t>
            </w:r>
          </w:p>
        </w:tc>
        <w:tc>
          <w:tcPr>
            <w:tcW w:w="0" w:type="auto"/>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hideMark/>
          </w:tcPr>
          <w:p w14:paraId="1BCD9028" w14:textId="77777777" w:rsidR="007D5D2E" w:rsidRDefault="007D5D2E">
            <w:pPr>
              <w:spacing w:line="252" w:lineRule="auto"/>
              <w:rPr>
                <w:rFonts w:ascii="Times New Roman" w:hAnsi="Times New Roman" w:cs="Times New Roman"/>
                <w:sz w:val="24"/>
                <w:szCs w:val="24"/>
                <w:lang w:eastAsia="cs-CZ"/>
              </w:rPr>
            </w:pPr>
            <w:r>
              <w:rPr>
                <w:rFonts w:ascii="Times New Roman" w:hAnsi="Times New Roman" w:cs="Times New Roman"/>
                <w:sz w:val="24"/>
                <w:szCs w:val="24"/>
                <w:lang w:eastAsia="cs-CZ"/>
              </w:rPr>
              <w:t>1</w:t>
            </w:r>
          </w:p>
        </w:tc>
        <w:tc>
          <w:tcPr>
            <w:tcW w:w="0" w:type="auto"/>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hideMark/>
          </w:tcPr>
          <w:p w14:paraId="382017BD" w14:textId="77777777" w:rsidR="007D5D2E" w:rsidRDefault="007D5D2E">
            <w:pPr>
              <w:spacing w:line="252" w:lineRule="auto"/>
              <w:rPr>
                <w:rFonts w:ascii="Times New Roman" w:hAnsi="Times New Roman" w:cs="Times New Roman"/>
                <w:sz w:val="24"/>
                <w:szCs w:val="24"/>
                <w:lang w:eastAsia="cs-CZ"/>
              </w:rPr>
            </w:pPr>
            <w:r>
              <w:rPr>
                <w:rFonts w:ascii="Times New Roman" w:hAnsi="Times New Roman" w:cs="Times New Roman"/>
                <w:sz w:val="24"/>
                <w:szCs w:val="24"/>
                <w:lang w:eastAsia="cs-CZ"/>
              </w:rPr>
              <w:t>1</w:t>
            </w:r>
          </w:p>
        </w:tc>
        <w:tc>
          <w:tcPr>
            <w:tcW w:w="0" w:type="auto"/>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hideMark/>
          </w:tcPr>
          <w:p w14:paraId="423B72E5" w14:textId="77777777" w:rsidR="007D5D2E" w:rsidRDefault="007D5D2E">
            <w:pPr>
              <w:spacing w:line="252" w:lineRule="auto"/>
              <w:rPr>
                <w:rFonts w:ascii="Times New Roman" w:hAnsi="Times New Roman" w:cs="Times New Roman"/>
                <w:sz w:val="24"/>
                <w:szCs w:val="24"/>
                <w:lang w:eastAsia="cs-CZ"/>
              </w:rPr>
            </w:pPr>
            <w:r>
              <w:rPr>
                <w:rFonts w:ascii="Times New Roman" w:hAnsi="Times New Roman" w:cs="Times New Roman"/>
                <w:sz w:val="24"/>
                <w:szCs w:val="24"/>
                <w:lang w:eastAsia="cs-CZ"/>
              </w:rPr>
              <w:t>0,8</w:t>
            </w:r>
          </w:p>
        </w:tc>
        <w:tc>
          <w:tcPr>
            <w:tcW w:w="0" w:type="auto"/>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hideMark/>
          </w:tcPr>
          <w:p w14:paraId="7DB38EBC" w14:textId="77777777" w:rsidR="007D5D2E" w:rsidRDefault="007D5D2E">
            <w:pPr>
              <w:spacing w:line="252" w:lineRule="auto"/>
              <w:rPr>
                <w:rFonts w:ascii="Times New Roman" w:hAnsi="Times New Roman" w:cs="Times New Roman"/>
                <w:sz w:val="24"/>
                <w:szCs w:val="24"/>
                <w:lang w:eastAsia="cs-CZ"/>
              </w:rPr>
            </w:pPr>
            <w:r>
              <w:rPr>
                <w:rFonts w:ascii="Times New Roman" w:hAnsi="Times New Roman" w:cs="Times New Roman"/>
                <w:sz w:val="24"/>
                <w:szCs w:val="24"/>
                <w:lang w:eastAsia="cs-CZ"/>
              </w:rPr>
              <w:t xml:space="preserve">pro hodnocení podpůrně využito vyhlášky </w:t>
            </w:r>
            <w:r>
              <w:rPr>
                <w:rFonts w:ascii="Times New Roman" w:hAnsi="Times New Roman" w:cs="Times New Roman"/>
                <w:sz w:val="24"/>
                <w:szCs w:val="24"/>
                <w:lang w:eastAsia="cs-CZ"/>
              </w:rPr>
              <w:br/>
              <w:t>č. 252/2004 Sb.</w:t>
            </w:r>
          </w:p>
        </w:tc>
      </w:tr>
      <w:tr w:rsidR="007D5D2E" w14:paraId="56F17EB4" w14:textId="77777777" w:rsidTr="007D5D2E">
        <w:trPr>
          <w:tblCellSpacing w:w="15" w:type="dxa"/>
        </w:trPr>
        <w:tc>
          <w:tcPr>
            <w:tcW w:w="0" w:type="auto"/>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hideMark/>
          </w:tcPr>
          <w:p w14:paraId="46B8B97D" w14:textId="77777777" w:rsidR="007D5D2E" w:rsidRDefault="007D5D2E">
            <w:pPr>
              <w:spacing w:line="252" w:lineRule="auto"/>
              <w:rPr>
                <w:rFonts w:ascii="Times New Roman" w:hAnsi="Times New Roman" w:cs="Times New Roman"/>
                <w:sz w:val="24"/>
                <w:szCs w:val="24"/>
                <w:lang w:eastAsia="cs-CZ"/>
              </w:rPr>
            </w:pPr>
            <w:r>
              <w:rPr>
                <w:rFonts w:ascii="Times New Roman" w:hAnsi="Times New Roman" w:cs="Times New Roman"/>
                <w:sz w:val="24"/>
                <w:szCs w:val="24"/>
                <w:lang w:eastAsia="cs-CZ"/>
              </w:rPr>
              <w:t> </w:t>
            </w:r>
          </w:p>
        </w:tc>
        <w:tc>
          <w:tcPr>
            <w:tcW w:w="0" w:type="auto"/>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hideMark/>
          </w:tcPr>
          <w:p w14:paraId="37B0D38B" w14:textId="77777777" w:rsidR="007D5D2E" w:rsidRDefault="007D5D2E">
            <w:pPr>
              <w:spacing w:line="252" w:lineRule="auto"/>
              <w:rPr>
                <w:rFonts w:ascii="Times New Roman" w:hAnsi="Times New Roman" w:cs="Times New Roman"/>
                <w:sz w:val="24"/>
                <w:szCs w:val="24"/>
                <w:lang w:eastAsia="cs-CZ"/>
              </w:rPr>
            </w:pPr>
            <w:r>
              <w:rPr>
                <w:rFonts w:ascii="Times New Roman" w:hAnsi="Times New Roman" w:cs="Times New Roman"/>
                <w:sz w:val="24"/>
                <w:szCs w:val="24"/>
                <w:lang w:eastAsia="cs-CZ"/>
              </w:rPr>
              <w:t>2, 3, 5, 6</w:t>
            </w:r>
          </w:p>
        </w:tc>
        <w:tc>
          <w:tcPr>
            <w:tcW w:w="0" w:type="auto"/>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hideMark/>
          </w:tcPr>
          <w:p w14:paraId="15B03AE3" w14:textId="77777777" w:rsidR="007D5D2E" w:rsidRDefault="007D5D2E">
            <w:pPr>
              <w:spacing w:line="252" w:lineRule="auto"/>
              <w:rPr>
                <w:rFonts w:ascii="Times New Roman" w:hAnsi="Times New Roman" w:cs="Times New Roman"/>
                <w:sz w:val="24"/>
                <w:szCs w:val="24"/>
                <w:lang w:eastAsia="cs-CZ"/>
              </w:rPr>
            </w:pPr>
            <w:r>
              <w:rPr>
                <w:rFonts w:ascii="Times New Roman" w:hAnsi="Times New Roman" w:cs="Times New Roman"/>
                <w:sz w:val="24"/>
                <w:szCs w:val="24"/>
                <w:lang w:eastAsia="cs-CZ"/>
              </w:rPr>
              <w:t>1</w:t>
            </w:r>
          </w:p>
        </w:tc>
        <w:tc>
          <w:tcPr>
            <w:tcW w:w="0" w:type="auto"/>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hideMark/>
          </w:tcPr>
          <w:p w14:paraId="24CFE391" w14:textId="77777777" w:rsidR="007D5D2E" w:rsidRDefault="007D5D2E">
            <w:pPr>
              <w:spacing w:line="252" w:lineRule="auto"/>
              <w:rPr>
                <w:rFonts w:ascii="Times New Roman" w:hAnsi="Times New Roman" w:cs="Times New Roman"/>
                <w:sz w:val="24"/>
                <w:szCs w:val="24"/>
                <w:lang w:eastAsia="cs-CZ"/>
              </w:rPr>
            </w:pPr>
            <w:r>
              <w:rPr>
                <w:rFonts w:ascii="Times New Roman" w:hAnsi="Times New Roman" w:cs="Times New Roman"/>
                <w:sz w:val="24"/>
                <w:szCs w:val="24"/>
                <w:lang w:eastAsia="cs-CZ"/>
              </w:rPr>
              <w:t>&lt;0,5</w:t>
            </w:r>
          </w:p>
        </w:tc>
        <w:tc>
          <w:tcPr>
            <w:tcW w:w="0" w:type="auto"/>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hideMark/>
          </w:tcPr>
          <w:p w14:paraId="565A07FE" w14:textId="77777777" w:rsidR="007D5D2E" w:rsidRDefault="007D5D2E">
            <w:pPr>
              <w:spacing w:line="252" w:lineRule="auto"/>
              <w:rPr>
                <w:rFonts w:ascii="Times New Roman" w:hAnsi="Times New Roman" w:cs="Times New Roman"/>
                <w:sz w:val="24"/>
                <w:szCs w:val="24"/>
                <w:lang w:eastAsia="cs-CZ"/>
              </w:rPr>
            </w:pPr>
            <w:r>
              <w:rPr>
                <w:rFonts w:ascii="Times New Roman" w:hAnsi="Times New Roman" w:cs="Times New Roman"/>
                <w:sz w:val="24"/>
                <w:szCs w:val="24"/>
                <w:lang w:eastAsia="cs-CZ"/>
              </w:rPr>
              <w:t>pod mezí stanovitelnosti</w:t>
            </w:r>
          </w:p>
        </w:tc>
      </w:tr>
      <w:tr w:rsidR="007D5D2E" w14:paraId="57001BFF" w14:textId="77777777" w:rsidTr="007D5D2E">
        <w:trPr>
          <w:tblCellSpacing w:w="15" w:type="dxa"/>
        </w:trPr>
        <w:tc>
          <w:tcPr>
            <w:tcW w:w="0" w:type="auto"/>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hideMark/>
          </w:tcPr>
          <w:p w14:paraId="09969AA8" w14:textId="77777777" w:rsidR="007D5D2E" w:rsidRDefault="007D5D2E">
            <w:pPr>
              <w:spacing w:line="252" w:lineRule="auto"/>
              <w:rPr>
                <w:rFonts w:ascii="Times New Roman" w:hAnsi="Times New Roman" w:cs="Times New Roman"/>
                <w:sz w:val="24"/>
                <w:szCs w:val="24"/>
                <w:lang w:eastAsia="cs-CZ"/>
              </w:rPr>
            </w:pPr>
            <w:r>
              <w:rPr>
                <w:rFonts w:ascii="Times New Roman" w:hAnsi="Times New Roman" w:cs="Times New Roman"/>
                <w:sz w:val="24"/>
                <w:szCs w:val="24"/>
                <w:lang w:eastAsia="cs-CZ"/>
              </w:rPr>
              <w:t>10. 3. 2025</w:t>
            </w:r>
          </w:p>
        </w:tc>
        <w:tc>
          <w:tcPr>
            <w:tcW w:w="0" w:type="auto"/>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hideMark/>
          </w:tcPr>
          <w:p w14:paraId="71B7DBA5" w14:textId="77777777" w:rsidR="007D5D2E" w:rsidRDefault="007D5D2E">
            <w:pPr>
              <w:spacing w:line="252" w:lineRule="auto"/>
              <w:rPr>
                <w:rFonts w:ascii="Times New Roman" w:hAnsi="Times New Roman" w:cs="Times New Roman"/>
                <w:sz w:val="24"/>
                <w:szCs w:val="24"/>
                <w:lang w:eastAsia="cs-CZ"/>
              </w:rPr>
            </w:pPr>
            <w:r>
              <w:rPr>
                <w:rFonts w:ascii="Times New Roman" w:hAnsi="Times New Roman" w:cs="Times New Roman"/>
                <w:sz w:val="24"/>
                <w:szCs w:val="24"/>
                <w:lang w:eastAsia="cs-CZ"/>
              </w:rPr>
              <w:t>2, 3, 5, 6</w:t>
            </w:r>
          </w:p>
        </w:tc>
        <w:tc>
          <w:tcPr>
            <w:tcW w:w="0" w:type="auto"/>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hideMark/>
          </w:tcPr>
          <w:p w14:paraId="3572471F" w14:textId="77777777" w:rsidR="007D5D2E" w:rsidRDefault="007D5D2E">
            <w:pPr>
              <w:spacing w:line="252" w:lineRule="auto"/>
              <w:rPr>
                <w:rFonts w:ascii="Times New Roman" w:hAnsi="Times New Roman" w:cs="Times New Roman"/>
                <w:sz w:val="24"/>
                <w:szCs w:val="24"/>
                <w:lang w:eastAsia="cs-CZ"/>
              </w:rPr>
            </w:pPr>
            <w:r>
              <w:rPr>
                <w:rFonts w:ascii="Times New Roman" w:hAnsi="Times New Roman" w:cs="Times New Roman"/>
                <w:sz w:val="24"/>
                <w:szCs w:val="24"/>
                <w:lang w:eastAsia="cs-CZ"/>
              </w:rPr>
              <w:t>1</w:t>
            </w:r>
          </w:p>
        </w:tc>
        <w:tc>
          <w:tcPr>
            <w:tcW w:w="0" w:type="auto"/>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hideMark/>
          </w:tcPr>
          <w:p w14:paraId="7C1F459A" w14:textId="77777777" w:rsidR="007D5D2E" w:rsidRDefault="007D5D2E">
            <w:pPr>
              <w:spacing w:line="252" w:lineRule="auto"/>
              <w:rPr>
                <w:rFonts w:ascii="Times New Roman" w:hAnsi="Times New Roman" w:cs="Times New Roman"/>
                <w:sz w:val="24"/>
                <w:szCs w:val="24"/>
                <w:lang w:eastAsia="cs-CZ"/>
              </w:rPr>
            </w:pPr>
            <w:r>
              <w:rPr>
                <w:rFonts w:ascii="Times New Roman" w:hAnsi="Times New Roman" w:cs="Times New Roman"/>
                <w:sz w:val="24"/>
                <w:szCs w:val="24"/>
                <w:lang w:eastAsia="cs-CZ"/>
              </w:rPr>
              <w:t>&lt;0,5</w:t>
            </w:r>
          </w:p>
        </w:tc>
        <w:tc>
          <w:tcPr>
            <w:tcW w:w="0" w:type="auto"/>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hideMark/>
          </w:tcPr>
          <w:p w14:paraId="56BE20E0" w14:textId="77777777" w:rsidR="007D5D2E" w:rsidRDefault="007D5D2E">
            <w:pPr>
              <w:spacing w:line="252" w:lineRule="auto"/>
              <w:rPr>
                <w:rFonts w:ascii="Times New Roman" w:hAnsi="Times New Roman" w:cs="Times New Roman"/>
                <w:sz w:val="24"/>
                <w:szCs w:val="24"/>
                <w:lang w:eastAsia="cs-CZ"/>
              </w:rPr>
            </w:pPr>
            <w:r>
              <w:rPr>
                <w:rFonts w:ascii="Times New Roman" w:hAnsi="Times New Roman" w:cs="Times New Roman"/>
                <w:sz w:val="24"/>
                <w:szCs w:val="24"/>
                <w:lang w:eastAsia="cs-CZ"/>
              </w:rPr>
              <w:t>pod mezí stanovitelnosti</w:t>
            </w:r>
          </w:p>
        </w:tc>
      </w:tr>
      <w:tr w:rsidR="007D5D2E" w14:paraId="0DABF338" w14:textId="77777777" w:rsidTr="007D5D2E">
        <w:trPr>
          <w:tblCellSpacing w:w="15" w:type="dxa"/>
        </w:trPr>
        <w:tc>
          <w:tcPr>
            <w:tcW w:w="0" w:type="auto"/>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hideMark/>
          </w:tcPr>
          <w:p w14:paraId="3A3EF1AF" w14:textId="77777777" w:rsidR="007D5D2E" w:rsidRDefault="007D5D2E">
            <w:pPr>
              <w:spacing w:line="252" w:lineRule="auto"/>
              <w:rPr>
                <w:rFonts w:ascii="Times New Roman" w:hAnsi="Times New Roman" w:cs="Times New Roman"/>
                <w:sz w:val="24"/>
                <w:szCs w:val="24"/>
                <w:lang w:eastAsia="cs-CZ"/>
              </w:rPr>
            </w:pPr>
            <w:r>
              <w:rPr>
                <w:rFonts w:ascii="Times New Roman" w:hAnsi="Times New Roman" w:cs="Times New Roman"/>
                <w:sz w:val="24"/>
                <w:szCs w:val="24"/>
                <w:lang w:eastAsia="cs-CZ"/>
              </w:rPr>
              <w:t>17. 3. 2025</w:t>
            </w:r>
          </w:p>
        </w:tc>
        <w:tc>
          <w:tcPr>
            <w:tcW w:w="0" w:type="auto"/>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hideMark/>
          </w:tcPr>
          <w:p w14:paraId="1BCA9D92" w14:textId="77777777" w:rsidR="007D5D2E" w:rsidRDefault="007D5D2E">
            <w:pPr>
              <w:spacing w:line="252" w:lineRule="auto"/>
              <w:rPr>
                <w:rFonts w:ascii="Times New Roman" w:hAnsi="Times New Roman" w:cs="Times New Roman"/>
                <w:sz w:val="24"/>
                <w:szCs w:val="24"/>
                <w:lang w:eastAsia="cs-CZ"/>
              </w:rPr>
            </w:pPr>
            <w:r>
              <w:rPr>
                <w:rFonts w:ascii="Times New Roman" w:hAnsi="Times New Roman" w:cs="Times New Roman"/>
                <w:sz w:val="24"/>
                <w:szCs w:val="24"/>
                <w:lang w:eastAsia="cs-CZ"/>
              </w:rPr>
              <w:t>2, 3, 5, 6</w:t>
            </w:r>
          </w:p>
        </w:tc>
        <w:tc>
          <w:tcPr>
            <w:tcW w:w="0" w:type="auto"/>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hideMark/>
          </w:tcPr>
          <w:p w14:paraId="470B9918" w14:textId="77777777" w:rsidR="007D5D2E" w:rsidRDefault="007D5D2E">
            <w:pPr>
              <w:spacing w:line="252" w:lineRule="auto"/>
              <w:rPr>
                <w:rFonts w:ascii="Times New Roman" w:hAnsi="Times New Roman" w:cs="Times New Roman"/>
                <w:sz w:val="24"/>
                <w:szCs w:val="24"/>
                <w:lang w:eastAsia="cs-CZ"/>
              </w:rPr>
            </w:pPr>
            <w:r>
              <w:rPr>
                <w:rFonts w:ascii="Times New Roman" w:hAnsi="Times New Roman" w:cs="Times New Roman"/>
                <w:sz w:val="24"/>
                <w:szCs w:val="24"/>
                <w:lang w:eastAsia="cs-CZ"/>
              </w:rPr>
              <w:t>1</w:t>
            </w:r>
          </w:p>
        </w:tc>
        <w:tc>
          <w:tcPr>
            <w:tcW w:w="0" w:type="auto"/>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hideMark/>
          </w:tcPr>
          <w:p w14:paraId="22FD0A42" w14:textId="77777777" w:rsidR="007D5D2E" w:rsidRDefault="007D5D2E">
            <w:pPr>
              <w:spacing w:line="252" w:lineRule="auto"/>
              <w:rPr>
                <w:rFonts w:ascii="Times New Roman" w:hAnsi="Times New Roman" w:cs="Times New Roman"/>
                <w:sz w:val="24"/>
                <w:szCs w:val="24"/>
                <w:lang w:eastAsia="cs-CZ"/>
              </w:rPr>
            </w:pPr>
            <w:r>
              <w:rPr>
                <w:rFonts w:ascii="Times New Roman" w:hAnsi="Times New Roman" w:cs="Times New Roman"/>
                <w:sz w:val="24"/>
                <w:szCs w:val="24"/>
                <w:lang w:eastAsia="cs-CZ"/>
              </w:rPr>
              <w:t>&lt;0,5</w:t>
            </w:r>
          </w:p>
        </w:tc>
        <w:tc>
          <w:tcPr>
            <w:tcW w:w="0" w:type="auto"/>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hideMark/>
          </w:tcPr>
          <w:p w14:paraId="607F45F7" w14:textId="77777777" w:rsidR="007D5D2E" w:rsidRDefault="007D5D2E">
            <w:pPr>
              <w:spacing w:line="252" w:lineRule="auto"/>
              <w:rPr>
                <w:rFonts w:ascii="Times New Roman" w:hAnsi="Times New Roman" w:cs="Times New Roman"/>
                <w:sz w:val="24"/>
                <w:szCs w:val="24"/>
                <w:lang w:eastAsia="cs-CZ"/>
              </w:rPr>
            </w:pPr>
            <w:r>
              <w:rPr>
                <w:rFonts w:ascii="Times New Roman" w:hAnsi="Times New Roman" w:cs="Times New Roman"/>
                <w:sz w:val="24"/>
                <w:szCs w:val="24"/>
                <w:lang w:eastAsia="cs-CZ"/>
              </w:rPr>
              <w:t>pod mezí stanovitelnosti</w:t>
            </w:r>
          </w:p>
        </w:tc>
      </w:tr>
      <w:tr w:rsidR="007D5D2E" w14:paraId="4C547E14" w14:textId="77777777" w:rsidTr="007D5D2E">
        <w:trPr>
          <w:tblCellSpacing w:w="15" w:type="dxa"/>
        </w:trPr>
        <w:tc>
          <w:tcPr>
            <w:tcW w:w="0" w:type="auto"/>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hideMark/>
          </w:tcPr>
          <w:p w14:paraId="189E60B2" w14:textId="77777777" w:rsidR="007D5D2E" w:rsidRDefault="007D5D2E">
            <w:pPr>
              <w:spacing w:line="252" w:lineRule="auto"/>
              <w:rPr>
                <w:rFonts w:ascii="Times New Roman" w:hAnsi="Times New Roman" w:cs="Times New Roman"/>
                <w:sz w:val="24"/>
                <w:szCs w:val="24"/>
                <w:lang w:eastAsia="cs-CZ"/>
              </w:rPr>
            </w:pPr>
            <w:r>
              <w:rPr>
                <w:rFonts w:ascii="Times New Roman" w:hAnsi="Times New Roman" w:cs="Times New Roman"/>
                <w:sz w:val="24"/>
                <w:szCs w:val="24"/>
                <w:lang w:eastAsia="cs-CZ"/>
              </w:rPr>
              <w:t>24. 3. 2025</w:t>
            </w:r>
          </w:p>
        </w:tc>
        <w:tc>
          <w:tcPr>
            <w:tcW w:w="0" w:type="auto"/>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hideMark/>
          </w:tcPr>
          <w:p w14:paraId="0EF04CBB" w14:textId="77777777" w:rsidR="007D5D2E" w:rsidRDefault="007D5D2E">
            <w:pPr>
              <w:spacing w:line="252" w:lineRule="auto"/>
              <w:rPr>
                <w:rFonts w:ascii="Times New Roman" w:hAnsi="Times New Roman" w:cs="Times New Roman"/>
                <w:sz w:val="24"/>
                <w:szCs w:val="24"/>
                <w:lang w:eastAsia="cs-CZ"/>
              </w:rPr>
            </w:pPr>
            <w:r>
              <w:rPr>
                <w:rFonts w:ascii="Times New Roman" w:hAnsi="Times New Roman" w:cs="Times New Roman"/>
                <w:sz w:val="24"/>
                <w:szCs w:val="24"/>
                <w:lang w:eastAsia="cs-CZ"/>
              </w:rPr>
              <w:t>2, 3, 5, 6</w:t>
            </w:r>
          </w:p>
        </w:tc>
        <w:tc>
          <w:tcPr>
            <w:tcW w:w="0" w:type="auto"/>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hideMark/>
          </w:tcPr>
          <w:p w14:paraId="33BC6106" w14:textId="77777777" w:rsidR="007D5D2E" w:rsidRDefault="007D5D2E">
            <w:pPr>
              <w:spacing w:line="252" w:lineRule="auto"/>
              <w:rPr>
                <w:rFonts w:ascii="Times New Roman" w:hAnsi="Times New Roman" w:cs="Times New Roman"/>
                <w:sz w:val="24"/>
                <w:szCs w:val="24"/>
                <w:lang w:eastAsia="cs-CZ"/>
              </w:rPr>
            </w:pPr>
            <w:r>
              <w:rPr>
                <w:rFonts w:ascii="Times New Roman" w:hAnsi="Times New Roman" w:cs="Times New Roman"/>
                <w:sz w:val="24"/>
                <w:szCs w:val="24"/>
                <w:lang w:eastAsia="cs-CZ"/>
              </w:rPr>
              <w:t>1</w:t>
            </w:r>
          </w:p>
        </w:tc>
        <w:tc>
          <w:tcPr>
            <w:tcW w:w="0" w:type="auto"/>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hideMark/>
          </w:tcPr>
          <w:p w14:paraId="5CE2FAC5" w14:textId="77777777" w:rsidR="007D5D2E" w:rsidRDefault="007D5D2E">
            <w:pPr>
              <w:spacing w:line="252" w:lineRule="auto"/>
              <w:rPr>
                <w:rFonts w:ascii="Times New Roman" w:hAnsi="Times New Roman" w:cs="Times New Roman"/>
                <w:sz w:val="24"/>
                <w:szCs w:val="24"/>
                <w:lang w:eastAsia="cs-CZ"/>
              </w:rPr>
            </w:pPr>
            <w:r>
              <w:rPr>
                <w:rFonts w:ascii="Times New Roman" w:hAnsi="Times New Roman" w:cs="Times New Roman"/>
                <w:sz w:val="24"/>
                <w:szCs w:val="24"/>
                <w:lang w:eastAsia="cs-CZ"/>
              </w:rPr>
              <w:t>&lt;0,5</w:t>
            </w:r>
          </w:p>
        </w:tc>
        <w:tc>
          <w:tcPr>
            <w:tcW w:w="0" w:type="auto"/>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hideMark/>
          </w:tcPr>
          <w:p w14:paraId="0ABB3E5F" w14:textId="77777777" w:rsidR="007D5D2E" w:rsidRDefault="007D5D2E">
            <w:pPr>
              <w:spacing w:line="252" w:lineRule="auto"/>
              <w:rPr>
                <w:rFonts w:ascii="Times New Roman" w:hAnsi="Times New Roman" w:cs="Times New Roman"/>
                <w:sz w:val="24"/>
                <w:szCs w:val="24"/>
                <w:lang w:eastAsia="cs-CZ"/>
              </w:rPr>
            </w:pPr>
            <w:r>
              <w:rPr>
                <w:rFonts w:ascii="Times New Roman" w:hAnsi="Times New Roman" w:cs="Times New Roman"/>
                <w:sz w:val="24"/>
                <w:szCs w:val="24"/>
                <w:lang w:eastAsia="cs-CZ"/>
              </w:rPr>
              <w:t>pod mezí stanovitelnosti</w:t>
            </w:r>
          </w:p>
        </w:tc>
      </w:tr>
      <w:tr w:rsidR="007D5D2E" w14:paraId="15222EA3" w14:textId="77777777" w:rsidTr="007D5D2E">
        <w:trPr>
          <w:tblCellSpacing w:w="15" w:type="dxa"/>
        </w:trPr>
        <w:tc>
          <w:tcPr>
            <w:tcW w:w="0" w:type="auto"/>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hideMark/>
          </w:tcPr>
          <w:p w14:paraId="6075AE9D" w14:textId="77777777" w:rsidR="007D5D2E" w:rsidRDefault="007D5D2E">
            <w:pPr>
              <w:spacing w:line="252" w:lineRule="auto"/>
              <w:rPr>
                <w:rFonts w:ascii="Times New Roman" w:hAnsi="Times New Roman" w:cs="Times New Roman"/>
                <w:sz w:val="24"/>
                <w:szCs w:val="24"/>
                <w:lang w:eastAsia="cs-CZ"/>
              </w:rPr>
            </w:pPr>
            <w:r>
              <w:rPr>
                <w:rFonts w:ascii="Times New Roman" w:hAnsi="Times New Roman" w:cs="Times New Roman"/>
                <w:sz w:val="24"/>
                <w:szCs w:val="24"/>
                <w:lang w:eastAsia="cs-CZ"/>
              </w:rPr>
              <w:t>1. a 2. 4. 2025</w:t>
            </w:r>
          </w:p>
        </w:tc>
        <w:tc>
          <w:tcPr>
            <w:tcW w:w="0" w:type="auto"/>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hideMark/>
          </w:tcPr>
          <w:p w14:paraId="1DB8A5B6" w14:textId="77777777" w:rsidR="007D5D2E" w:rsidRDefault="007D5D2E">
            <w:pPr>
              <w:spacing w:line="252" w:lineRule="auto"/>
              <w:rPr>
                <w:rFonts w:ascii="Times New Roman" w:hAnsi="Times New Roman" w:cs="Times New Roman"/>
                <w:sz w:val="24"/>
                <w:szCs w:val="24"/>
                <w:lang w:eastAsia="cs-CZ"/>
              </w:rPr>
            </w:pPr>
            <w:r>
              <w:rPr>
                <w:rFonts w:ascii="Times New Roman" w:hAnsi="Times New Roman" w:cs="Times New Roman"/>
                <w:sz w:val="24"/>
                <w:szCs w:val="24"/>
                <w:lang w:eastAsia="cs-CZ"/>
              </w:rPr>
              <w:t>2-9</w:t>
            </w:r>
          </w:p>
        </w:tc>
        <w:tc>
          <w:tcPr>
            <w:tcW w:w="0" w:type="auto"/>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hideMark/>
          </w:tcPr>
          <w:p w14:paraId="4FBA0771" w14:textId="77777777" w:rsidR="007D5D2E" w:rsidRDefault="007D5D2E">
            <w:pPr>
              <w:spacing w:line="252" w:lineRule="auto"/>
              <w:rPr>
                <w:rFonts w:ascii="Times New Roman" w:hAnsi="Times New Roman" w:cs="Times New Roman"/>
                <w:sz w:val="24"/>
                <w:szCs w:val="24"/>
                <w:lang w:eastAsia="cs-CZ"/>
              </w:rPr>
            </w:pPr>
            <w:r>
              <w:rPr>
                <w:rFonts w:ascii="Times New Roman" w:hAnsi="Times New Roman" w:cs="Times New Roman"/>
                <w:sz w:val="24"/>
                <w:szCs w:val="24"/>
                <w:lang w:eastAsia="cs-CZ"/>
              </w:rPr>
              <w:t>1</w:t>
            </w:r>
          </w:p>
        </w:tc>
        <w:tc>
          <w:tcPr>
            <w:tcW w:w="0" w:type="auto"/>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hideMark/>
          </w:tcPr>
          <w:p w14:paraId="2EBC491A" w14:textId="77777777" w:rsidR="007D5D2E" w:rsidRDefault="007D5D2E">
            <w:pPr>
              <w:spacing w:line="252" w:lineRule="auto"/>
              <w:rPr>
                <w:rFonts w:ascii="Times New Roman" w:hAnsi="Times New Roman" w:cs="Times New Roman"/>
                <w:sz w:val="24"/>
                <w:szCs w:val="24"/>
                <w:lang w:eastAsia="cs-CZ"/>
              </w:rPr>
            </w:pPr>
            <w:r>
              <w:rPr>
                <w:rFonts w:ascii="Times New Roman" w:hAnsi="Times New Roman" w:cs="Times New Roman"/>
                <w:sz w:val="24"/>
                <w:szCs w:val="24"/>
                <w:lang w:eastAsia="cs-CZ"/>
              </w:rPr>
              <w:t>&lt;0,5</w:t>
            </w:r>
          </w:p>
        </w:tc>
        <w:tc>
          <w:tcPr>
            <w:tcW w:w="0" w:type="auto"/>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hideMark/>
          </w:tcPr>
          <w:p w14:paraId="084D3620" w14:textId="77777777" w:rsidR="007D5D2E" w:rsidRDefault="007D5D2E">
            <w:pPr>
              <w:spacing w:line="252" w:lineRule="auto"/>
              <w:rPr>
                <w:rFonts w:ascii="Times New Roman" w:hAnsi="Times New Roman" w:cs="Times New Roman"/>
                <w:sz w:val="24"/>
                <w:szCs w:val="24"/>
                <w:lang w:eastAsia="cs-CZ"/>
              </w:rPr>
            </w:pPr>
            <w:r>
              <w:rPr>
                <w:rFonts w:ascii="Times New Roman" w:hAnsi="Times New Roman" w:cs="Times New Roman"/>
                <w:sz w:val="24"/>
                <w:szCs w:val="24"/>
                <w:lang w:eastAsia="cs-CZ"/>
              </w:rPr>
              <w:t>pod mezí stanovitelnosti</w:t>
            </w:r>
          </w:p>
        </w:tc>
      </w:tr>
    </w:tbl>
    <w:p w14:paraId="5B63E1DB" w14:textId="77777777" w:rsidR="007D5D2E" w:rsidRDefault="007D5D2E" w:rsidP="007D5D2E">
      <w:pPr>
        <w:pStyle w:val="Normlnweb"/>
        <w:jc w:val="both"/>
      </w:pPr>
      <w:r>
        <w:t>npor. Bc. Petr Březina</w:t>
      </w:r>
    </w:p>
    <w:tbl>
      <w:tblPr>
        <w:tblW w:w="6251" w:type="dxa"/>
        <w:tblCellSpacing w:w="0" w:type="dxa"/>
        <w:tblCellMar>
          <w:left w:w="0" w:type="dxa"/>
          <w:right w:w="0" w:type="dxa"/>
        </w:tblCellMar>
        <w:tblLook w:val="04A0" w:firstRow="1" w:lastRow="0" w:firstColumn="1" w:lastColumn="0" w:noHBand="0" w:noVBand="1"/>
      </w:tblPr>
      <w:tblGrid>
        <w:gridCol w:w="1422"/>
        <w:gridCol w:w="4829"/>
      </w:tblGrid>
      <w:tr w:rsidR="007D5D2E" w14:paraId="1EC36C8F" w14:textId="77777777" w:rsidTr="007D5D2E">
        <w:trPr>
          <w:trHeight w:val="437"/>
          <w:tblCellSpacing w:w="0" w:type="dxa"/>
        </w:trPr>
        <w:tc>
          <w:tcPr>
            <w:tcW w:w="6251" w:type="dxa"/>
            <w:gridSpan w:val="2"/>
            <w:tcBorders>
              <w:top w:val="nil"/>
              <w:left w:val="nil"/>
              <w:bottom w:val="single" w:sz="8" w:space="0" w:color="05385F"/>
              <w:right w:val="nil"/>
            </w:tcBorders>
            <w:tcMar>
              <w:top w:w="0" w:type="dxa"/>
              <w:left w:w="0" w:type="dxa"/>
              <w:bottom w:w="60" w:type="dxa"/>
              <w:right w:w="0" w:type="dxa"/>
            </w:tcMar>
            <w:vAlign w:val="center"/>
            <w:hideMark/>
          </w:tcPr>
          <w:p w14:paraId="21DC62B5" w14:textId="77777777" w:rsidR="007D5D2E" w:rsidRDefault="007D5D2E">
            <w:pPr>
              <w:rPr>
                <w:color w:val="05385F"/>
                <w:sz w:val="20"/>
                <w:szCs w:val="20"/>
                <w:lang w:eastAsia="cs-CZ"/>
              </w:rPr>
            </w:pPr>
            <w:r>
              <w:rPr>
                <w:b/>
                <w:bCs/>
                <w:sz w:val="24"/>
                <w:szCs w:val="24"/>
                <w:lang w:eastAsia="cs-CZ"/>
              </w:rPr>
              <w:t>Krajské operační a informační středisko</w:t>
            </w:r>
            <w:r>
              <w:rPr>
                <w:b/>
                <w:bCs/>
                <w:sz w:val="20"/>
                <w:szCs w:val="20"/>
                <w:lang w:eastAsia="cs-CZ"/>
              </w:rPr>
              <w:t xml:space="preserve"> </w:t>
            </w:r>
            <w:r>
              <w:rPr>
                <w:sz w:val="20"/>
                <w:szCs w:val="20"/>
                <w:lang w:eastAsia="cs-CZ"/>
              </w:rPr>
              <w:br/>
            </w:r>
            <w:r>
              <w:rPr>
                <w:color w:val="05385F"/>
                <w:sz w:val="20"/>
                <w:szCs w:val="20"/>
                <w:lang w:eastAsia="cs-CZ"/>
              </w:rPr>
              <w:t xml:space="preserve">HZS Olomoucký kraj | </w:t>
            </w:r>
            <w:hyperlink r:id="rId6" w:history="1">
              <w:r>
                <w:rPr>
                  <w:rStyle w:val="Hypertextovodkaz"/>
                  <w:color w:val="0000FF"/>
                  <w:sz w:val="20"/>
                  <w:szCs w:val="20"/>
                  <w:lang w:eastAsia="cs-CZ"/>
                </w:rPr>
                <w:t>www.hzscr.cz/hzs-olomouckeho-kraje</w:t>
              </w:r>
            </w:hyperlink>
          </w:p>
        </w:tc>
      </w:tr>
      <w:tr w:rsidR="007D5D2E" w14:paraId="6594E1B1" w14:textId="77777777" w:rsidTr="007D5D2E">
        <w:trPr>
          <w:trHeight w:val="1531"/>
          <w:tblCellSpacing w:w="0" w:type="dxa"/>
        </w:trPr>
        <w:tc>
          <w:tcPr>
            <w:tcW w:w="1422" w:type="dxa"/>
            <w:tcMar>
              <w:top w:w="180" w:type="dxa"/>
              <w:left w:w="0" w:type="dxa"/>
              <w:bottom w:w="0" w:type="dxa"/>
              <w:right w:w="0" w:type="dxa"/>
            </w:tcMar>
            <w:vAlign w:val="center"/>
            <w:hideMark/>
          </w:tcPr>
          <w:p w14:paraId="4A286345" w14:textId="61C6012E" w:rsidR="007D5D2E" w:rsidRDefault="007D5D2E">
            <w:pPr>
              <w:rPr>
                <w:rFonts w:ascii="Arial" w:hAnsi="Arial" w:cs="Arial"/>
                <w:color w:val="05385F"/>
                <w:sz w:val="24"/>
                <w:szCs w:val="24"/>
                <w:lang w:eastAsia="cs-CZ"/>
              </w:rPr>
            </w:pPr>
            <w:r>
              <w:rPr>
                <w:rFonts w:ascii="Arial" w:hAnsi="Arial" w:cs="Arial"/>
                <w:noProof/>
                <w:color w:val="05385F"/>
                <w:sz w:val="24"/>
                <w:szCs w:val="24"/>
                <w:lang w:eastAsia="cs-CZ"/>
              </w:rPr>
              <w:drawing>
                <wp:inline distT="0" distB="0" distL="0" distR="0" wp14:anchorId="770E8881" wp14:editId="4B74FACA">
                  <wp:extent cx="601980" cy="838200"/>
                  <wp:effectExtent l="0" t="0" r="7620" b="0"/>
                  <wp:docPr id="1551652089" name="Obrázek 1" descr="Ph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descr="Photo"/>
                          <pic:cNvPicPr>
                            <a:picLocks noChangeAspect="1" noChangeArrowheads="1"/>
                          </pic:cNvPicPr>
                        </pic:nvPicPr>
                        <pic:blipFill>
                          <a:blip r:embed="rId7" r:link="rId8">
                            <a:extLst>
                              <a:ext uri="{28A0092B-C50C-407E-A947-70E740481C1C}">
                                <a14:useLocalDpi xmlns:a14="http://schemas.microsoft.com/office/drawing/2010/main" val="0"/>
                              </a:ext>
                            </a:extLst>
                          </a:blip>
                          <a:srcRect/>
                          <a:stretch>
                            <a:fillRect/>
                          </a:stretch>
                        </pic:blipFill>
                        <pic:spPr bwMode="auto">
                          <a:xfrm>
                            <a:off x="0" y="0"/>
                            <a:ext cx="601980" cy="838200"/>
                          </a:xfrm>
                          <a:prstGeom prst="rect">
                            <a:avLst/>
                          </a:prstGeom>
                          <a:noFill/>
                          <a:ln>
                            <a:noFill/>
                          </a:ln>
                        </pic:spPr>
                      </pic:pic>
                    </a:graphicData>
                  </a:graphic>
                </wp:inline>
              </w:drawing>
            </w:r>
          </w:p>
        </w:tc>
        <w:tc>
          <w:tcPr>
            <w:tcW w:w="0" w:type="auto"/>
            <w:tcMar>
              <w:top w:w="225" w:type="dxa"/>
              <w:left w:w="0" w:type="dxa"/>
              <w:bottom w:w="0" w:type="dxa"/>
              <w:right w:w="0" w:type="dxa"/>
            </w:tcMar>
            <w:vAlign w:val="center"/>
            <w:hideMark/>
          </w:tcPr>
          <w:p w14:paraId="0A752630" w14:textId="77777777" w:rsidR="007D5D2E" w:rsidRDefault="007D5D2E">
            <w:pPr>
              <w:spacing w:line="180" w:lineRule="atLeast"/>
              <w:rPr>
                <w:color w:val="05385F"/>
                <w:sz w:val="24"/>
                <w:szCs w:val="24"/>
                <w:lang w:eastAsia="cs-CZ"/>
              </w:rPr>
            </w:pPr>
            <w:r>
              <w:rPr>
                <w:color w:val="05385F"/>
                <w:sz w:val="18"/>
                <w:szCs w:val="18"/>
                <w:lang w:eastAsia="cs-CZ"/>
              </w:rPr>
              <w:t>T:</w:t>
            </w:r>
            <w:r>
              <w:rPr>
                <w:color w:val="05385F"/>
                <w:sz w:val="24"/>
                <w:szCs w:val="24"/>
                <w:lang w:eastAsia="cs-CZ"/>
              </w:rPr>
              <w:t xml:space="preserve"> </w:t>
            </w:r>
            <w:r>
              <w:rPr>
                <w:color w:val="101010"/>
                <w:sz w:val="18"/>
                <w:szCs w:val="18"/>
                <w:lang w:eastAsia="cs-CZ"/>
              </w:rPr>
              <w:t>+420 950 770 010</w:t>
            </w:r>
          </w:p>
          <w:p w14:paraId="4B46A3ED" w14:textId="77777777" w:rsidR="007D5D2E" w:rsidRDefault="007D5D2E">
            <w:pPr>
              <w:spacing w:line="180" w:lineRule="atLeast"/>
              <w:rPr>
                <w:color w:val="05385F"/>
                <w:sz w:val="24"/>
                <w:szCs w:val="24"/>
                <w:lang w:eastAsia="cs-CZ"/>
              </w:rPr>
            </w:pPr>
            <w:r>
              <w:rPr>
                <w:color w:val="05385F"/>
                <w:sz w:val="18"/>
                <w:szCs w:val="18"/>
                <w:lang w:eastAsia="cs-CZ"/>
              </w:rPr>
              <w:t>M:</w:t>
            </w:r>
            <w:r>
              <w:rPr>
                <w:color w:val="05385F"/>
                <w:sz w:val="24"/>
                <w:szCs w:val="24"/>
                <w:lang w:eastAsia="cs-CZ"/>
              </w:rPr>
              <w:t xml:space="preserve"> </w:t>
            </w:r>
            <w:r>
              <w:rPr>
                <w:color w:val="101010"/>
                <w:sz w:val="18"/>
                <w:szCs w:val="18"/>
                <w:lang w:eastAsia="cs-CZ"/>
              </w:rPr>
              <w:t>+420 725 132 535</w:t>
            </w:r>
          </w:p>
          <w:p w14:paraId="700BA68B" w14:textId="77777777" w:rsidR="007D5D2E" w:rsidRDefault="007D5D2E">
            <w:pPr>
              <w:spacing w:line="180" w:lineRule="atLeast"/>
              <w:rPr>
                <w:color w:val="05385F"/>
                <w:sz w:val="24"/>
                <w:szCs w:val="24"/>
                <w:lang w:eastAsia="cs-CZ"/>
              </w:rPr>
            </w:pPr>
            <w:r>
              <w:rPr>
                <w:color w:val="05385F"/>
                <w:sz w:val="18"/>
                <w:szCs w:val="18"/>
                <w:lang w:eastAsia="cs-CZ"/>
              </w:rPr>
              <w:t>E:</w:t>
            </w:r>
            <w:r>
              <w:rPr>
                <w:color w:val="05385F"/>
                <w:sz w:val="24"/>
                <w:szCs w:val="24"/>
                <w:lang w:eastAsia="cs-CZ"/>
              </w:rPr>
              <w:t xml:space="preserve"> </w:t>
            </w:r>
            <w:hyperlink r:id="rId9" w:history="1">
              <w:r>
                <w:rPr>
                  <w:rStyle w:val="Hypertextovodkaz"/>
                  <w:color w:val="101010"/>
                  <w:sz w:val="18"/>
                  <w:szCs w:val="18"/>
                  <w:lang w:eastAsia="cs-CZ"/>
                </w:rPr>
                <w:t>olk.kopis@hzscr.cz</w:t>
              </w:r>
            </w:hyperlink>
          </w:p>
          <w:p w14:paraId="0A010E79" w14:textId="77777777" w:rsidR="007D5D2E" w:rsidRDefault="007D5D2E">
            <w:pPr>
              <w:spacing w:line="180" w:lineRule="atLeast"/>
              <w:rPr>
                <w:rFonts w:ascii="Arial" w:hAnsi="Arial" w:cs="Arial"/>
                <w:color w:val="05385F"/>
                <w:sz w:val="24"/>
                <w:szCs w:val="24"/>
                <w:lang w:eastAsia="cs-CZ"/>
              </w:rPr>
            </w:pPr>
            <w:r>
              <w:rPr>
                <w:color w:val="05385F"/>
                <w:sz w:val="18"/>
                <w:szCs w:val="18"/>
                <w:lang w:eastAsia="cs-CZ"/>
              </w:rPr>
              <w:t>A:</w:t>
            </w:r>
            <w:r>
              <w:rPr>
                <w:color w:val="05385F"/>
                <w:sz w:val="24"/>
                <w:szCs w:val="24"/>
                <w:lang w:eastAsia="cs-CZ"/>
              </w:rPr>
              <w:t xml:space="preserve"> </w:t>
            </w:r>
            <w:r>
              <w:rPr>
                <w:color w:val="101010"/>
                <w:sz w:val="18"/>
                <w:szCs w:val="18"/>
                <w:lang w:eastAsia="cs-CZ"/>
              </w:rPr>
              <w:t>HZS Olomoucký kraj</w:t>
            </w:r>
            <w:r>
              <w:rPr>
                <w:color w:val="05385F"/>
                <w:sz w:val="24"/>
                <w:szCs w:val="24"/>
                <w:lang w:eastAsia="cs-CZ"/>
              </w:rPr>
              <w:t xml:space="preserve"> </w:t>
            </w:r>
            <w:r>
              <w:rPr>
                <w:color w:val="101010"/>
                <w:sz w:val="18"/>
                <w:szCs w:val="18"/>
                <w:lang w:eastAsia="cs-CZ"/>
              </w:rPr>
              <w:t>Schweitzerova 524/91, Olomouc</w:t>
            </w:r>
            <w:r>
              <w:rPr>
                <w:rFonts w:ascii="Arial" w:hAnsi="Arial" w:cs="Arial"/>
                <w:color w:val="05385F"/>
                <w:sz w:val="24"/>
                <w:szCs w:val="24"/>
                <w:lang w:eastAsia="cs-CZ"/>
              </w:rPr>
              <w:t xml:space="preserve"> </w:t>
            </w:r>
          </w:p>
        </w:tc>
      </w:tr>
    </w:tbl>
    <w:p w14:paraId="7C2F8726" w14:textId="77777777" w:rsidR="0004797E" w:rsidRDefault="0004797E"/>
    <w:sectPr w:rsidR="0004797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AFA4D0D"/>
    <w:multiLevelType w:val="hybridMultilevel"/>
    <w:tmpl w:val="2C8AF61C"/>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num w:numId="1" w16cid:durableId="1013806355">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5D2E"/>
    <w:rsid w:val="0004797E"/>
    <w:rsid w:val="007D5D2E"/>
    <w:rsid w:val="00C3430B"/>
    <w:rsid w:val="00DB7DE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4229BA"/>
  <w15:chartTrackingRefBased/>
  <w15:docId w15:val="{8952D794-245D-41BE-B83B-E037A352F2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cs-C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7D5D2E"/>
    <w:pPr>
      <w:spacing w:after="0" w:line="240" w:lineRule="auto"/>
    </w:pPr>
    <w:rPr>
      <w:rFonts w:ascii="Calibri" w:hAnsi="Calibri" w:cs="Calibri"/>
      <w:kern w:val="0"/>
      <w14:ligatures w14:val="none"/>
    </w:rPr>
  </w:style>
  <w:style w:type="paragraph" w:styleId="Nadpis1">
    <w:name w:val="heading 1"/>
    <w:basedOn w:val="Normln"/>
    <w:next w:val="Normln"/>
    <w:link w:val="Nadpis1Char"/>
    <w:uiPriority w:val="9"/>
    <w:qFormat/>
    <w:rsid w:val="007D5D2E"/>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Nadpis2">
    <w:name w:val="heading 2"/>
    <w:basedOn w:val="Normln"/>
    <w:next w:val="Normln"/>
    <w:link w:val="Nadpis2Char"/>
    <w:uiPriority w:val="9"/>
    <w:semiHidden/>
    <w:unhideWhenUsed/>
    <w:qFormat/>
    <w:rsid w:val="007D5D2E"/>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Nadpis3">
    <w:name w:val="heading 3"/>
    <w:basedOn w:val="Normln"/>
    <w:next w:val="Normln"/>
    <w:link w:val="Nadpis3Char"/>
    <w:uiPriority w:val="9"/>
    <w:semiHidden/>
    <w:unhideWhenUsed/>
    <w:qFormat/>
    <w:rsid w:val="007D5D2E"/>
    <w:pPr>
      <w:keepNext/>
      <w:keepLines/>
      <w:spacing w:before="160" w:after="80"/>
      <w:outlineLvl w:val="2"/>
    </w:pPr>
    <w:rPr>
      <w:rFonts w:eastAsiaTheme="majorEastAsia" w:cstheme="majorBidi"/>
      <w:color w:val="2F5496" w:themeColor="accent1" w:themeShade="BF"/>
      <w:sz w:val="28"/>
      <w:szCs w:val="28"/>
    </w:rPr>
  </w:style>
  <w:style w:type="paragraph" w:styleId="Nadpis4">
    <w:name w:val="heading 4"/>
    <w:basedOn w:val="Normln"/>
    <w:next w:val="Normln"/>
    <w:link w:val="Nadpis4Char"/>
    <w:uiPriority w:val="9"/>
    <w:semiHidden/>
    <w:unhideWhenUsed/>
    <w:qFormat/>
    <w:rsid w:val="007D5D2E"/>
    <w:pPr>
      <w:keepNext/>
      <w:keepLines/>
      <w:spacing w:before="80" w:after="40"/>
      <w:outlineLvl w:val="3"/>
    </w:pPr>
    <w:rPr>
      <w:rFonts w:eastAsiaTheme="majorEastAsia" w:cstheme="majorBidi"/>
      <w:i/>
      <w:iCs/>
      <w:color w:val="2F5496" w:themeColor="accent1" w:themeShade="BF"/>
    </w:rPr>
  </w:style>
  <w:style w:type="paragraph" w:styleId="Nadpis5">
    <w:name w:val="heading 5"/>
    <w:basedOn w:val="Normln"/>
    <w:next w:val="Normln"/>
    <w:link w:val="Nadpis5Char"/>
    <w:uiPriority w:val="9"/>
    <w:semiHidden/>
    <w:unhideWhenUsed/>
    <w:qFormat/>
    <w:rsid w:val="007D5D2E"/>
    <w:pPr>
      <w:keepNext/>
      <w:keepLines/>
      <w:spacing w:before="80" w:after="40"/>
      <w:outlineLvl w:val="4"/>
    </w:pPr>
    <w:rPr>
      <w:rFonts w:eastAsiaTheme="majorEastAsia" w:cstheme="majorBidi"/>
      <w:color w:val="2F5496" w:themeColor="accent1" w:themeShade="BF"/>
    </w:rPr>
  </w:style>
  <w:style w:type="paragraph" w:styleId="Nadpis6">
    <w:name w:val="heading 6"/>
    <w:basedOn w:val="Normln"/>
    <w:next w:val="Normln"/>
    <w:link w:val="Nadpis6Char"/>
    <w:uiPriority w:val="9"/>
    <w:semiHidden/>
    <w:unhideWhenUsed/>
    <w:qFormat/>
    <w:rsid w:val="007D5D2E"/>
    <w:pPr>
      <w:keepNext/>
      <w:keepLines/>
      <w:spacing w:before="40"/>
      <w:outlineLvl w:val="5"/>
    </w:pPr>
    <w:rPr>
      <w:rFonts w:eastAsiaTheme="majorEastAsia" w:cstheme="majorBidi"/>
      <w:i/>
      <w:iCs/>
      <w:color w:val="595959" w:themeColor="text1" w:themeTint="A6"/>
    </w:rPr>
  </w:style>
  <w:style w:type="paragraph" w:styleId="Nadpis7">
    <w:name w:val="heading 7"/>
    <w:basedOn w:val="Normln"/>
    <w:next w:val="Normln"/>
    <w:link w:val="Nadpis7Char"/>
    <w:uiPriority w:val="9"/>
    <w:semiHidden/>
    <w:unhideWhenUsed/>
    <w:qFormat/>
    <w:rsid w:val="007D5D2E"/>
    <w:pPr>
      <w:keepNext/>
      <w:keepLines/>
      <w:spacing w:before="40"/>
      <w:outlineLvl w:val="6"/>
    </w:pPr>
    <w:rPr>
      <w:rFonts w:eastAsiaTheme="majorEastAsia" w:cstheme="majorBidi"/>
      <w:color w:val="595959" w:themeColor="text1" w:themeTint="A6"/>
    </w:rPr>
  </w:style>
  <w:style w:type="paragraph" w:styleId="Nadpis8">
    <w:name w:val="heading 8"/>
    <w:basedOn w:val="Normln"/>
    <w:next w:val="Normln"/>
    <w:link w:val="Nadpis8Char"/>
    <w:uiPriority w:val="9"/>
    <w:semiHidden/>
    <w:unhideWhenUsed/>
    <w:qFormat/>
    <w:rsid w:val="007D5D2E"/>
    <w:pPr>
      <w:keepNext/>
      <w:keepLines/>
      <w:outlineLvl w:val="7"/>
    </w:pPr>
    <w:rPr>
      <w:rFonts w:eastAsiaTheme="majorEastAsia" w:cstheme="majorBidi"/>
      <w:i/>
      <w:iCs/>
      <w:color w:val="272727" w:themeColor="text1" w:themeTint="D8"/>
    </w:rPr>
  </w:style>
  <w:style w:type="paragraph" w:styleId="Nadpis9">
    <w:name w:val="heading 9"/>
    <w:basedOn w:val="Normln"/>
    <w:next w:val="Normln"/>
    <w:link w:val="Nadpis9Char"/>
    <w:uiPriority w:val="9"/>
    <w:semiHidden/>
    <w:unhideWhenUsed/>
    <w:qFormat/>
    <w:rsid w:val="007D5D2E"/>
    <w:pPr>
      <w:keepNext/>
      <w:keepLines/>
      <w:outlineLvl w:val="8"/>
    </w:pPr>
    <w:rPr>
      <w:rFonts w:eastAsiaTheme="majorEastAsia" w:cstheme="majorBidi"/>
      <w:color w:val="272727" w:themeColor="text1" w:themeTint="D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7D5D2E"/>
    <w:rPr>
      <w:rFonts w:asciiTheme="majorHAnsi" w:eastAsiaTheme="majorEastAsia" w:hAnsiTheme="majorHAnsi" w:cstheme="majorBidi"/>
      <w:color w:val="2F5496" w:themeColor="accent1" w:themeShade="BF"/>
      <w:sz w:val="40"/>
      <w:szCs w:val="40"/>
    </w:rPr>
  </w:style>
  <w:style w:type="character" w:customStyle="1" w:styleId="Nadpis2Char">
    <w:name w:val="Nadpis 2 Char"/>
    <w:basedOn w:val="Standardnpsmoodstavce"/>
    <w:link w:val="Nadpis2"/>
    <w:uiPriority w:val="9"/>
    <w:semiHidden/>
    <w:rsid w:val="007D5D2E"/>
    <w:rPr>
      <w:rFonts w:asciiTheme="majorHAnsi" w:eastAsiaTheme="majorEastAsia" w:hAnsiTheme="majorHAnsi" w:cstheme="majorBidi"/>
      <w:color w:val="2F5496" w:themeColor="accent1" w:themeShade="BF"/>
      <w:sz w:val="32"/>
      <w:szCs w:val="32"/>
    </w:rPr>
  </w:style>
  <w:style w:type="character" w:customStyle="1" w:styleId="Nadpis3Char">
    <w:name w:val="Nadpis 3 Char"/>
    <w:basedOn w:val="Standardnpsmoodstavce"/>
    <w:link w:val="Nadpis3"/>
    <w:uiPriority w:val="9"/>
    <w:semiHidden/>
    <w:rsid w:val="007D5D2E"/>
    <w:rPr>
      <w:rFonts w:eastAsiaTheme="majorEastAsia" w:cstheme="majorBidi"/>
      <w:color w:val="2F5496" w:themeColor="accent1" w:themeShade="BF"/>
      <w:sz w:val="28"/>
      <w:szCs w:val="28"/>
    </w:rPr>
  </w:style>
  <w:style w:type="character" w:customStyle="1" w:styleId="Nadpis4Char">
    <w:name w:val="Nadpis 4 Char"/>
    <w:basedOn w:val="Standardnpsmoodstavce"/>
    <w:link w:val="Nadpis4"/>
    <w:uiPriority w:val="9"/>
    <w:semiHidden/>
    <w:rsid w:val="007D5D2E"/>
    <w:rPr>
      <w:rFonts w:eastAsiaTheme="majorEastAsia" w:cstheme="majorBidi"/>
      <w:i/>
      <w:iCs/>
      <w:color w:val="2F5496" w:themeColor="accent1" w:themeShade="BF"/>
    </w:rPr>
  </w:style>
  <w:style w:type="character" w:customStyle="1" w:styleId="Nadpis5Char">
    <w:name w:val="Nadpis 5 Char"/>
    <w:basedOn w:val="Standardnpsmoodstavce"/>
    <w:link w:val="Nadpis5"/>
    <w:uiPriority w:val="9"/>
    <w:semiHidden/>
    <w:rsid w:val="007D5D2E"/>
    <w:rPr>
      <w:rFonts w:eastAsiaTheme="majorEastAsia" w:cstheme="majorBidi"/>
      <w:color w:val="2F5496" w:themeColor="accent1" w:themeShade="BF"/>
    </w:rPr>
  </w:style>
  <w:style w:type="character" w:customStyle="1" w:styleId="Nadpis6Char">
    <w:name w:val="Nadpis 6 Char"/>
    <w:basedOn w:val="Standardnpsmoodstavce"/>
    <w:link w:val="Nadpis6"/>
    <w:uiPriority w:val="9"/>
    <w:semiHidden/>
    <w:rsid w:val="007D5D2E"/>
    <w:rPr>
      <w:rFonts w:eastAsiaTheme="majorEastAsia" w:cstheme="majorBidi"/>
      <w:i/>
      <w:iCs/>
      <w:color w:val="595959" w:themeColor="text1" w:themeTint="A6"/>
    </w:rPr>
  </w:style>
  <w:style w:type="character" w:customStyle="1" w:styleId="Nadpis7Char">
    <w:name w:val="Nadpis 7 Char"/>
    <w:basedOn w:val="Standardnpsmoodstavce"/>
    <w:link w:val="Nadpis7"/>
    <w:uiPriority w:val="9"/>
    <w:semiHidden/>
    <w:rsid w:val="007D5D2E"/>
    <w:rPr>
      <w:rFonts w:eastAsiaTheme="majorEastAsia" w:cstheme="majorBidi"/>
      <w:color w:val="595959" w:themeColor="text1" w:themeTint="A6"/>
    </w:rPr>
  </w:style>
  <w:style w:type="character" w:customStyle="1" w:styleId="Nadpis8Char">
    <w:name w:val="Nadpis 8 Char"/>
    <w:basedOn w:val="Standardnpsmoodstavce"/>
    <w:link w:val="Nadpis8"/>
    <w:uiPriority w:val="9"/>
    <w:semiHidden/>
    <w:rsid w:val="007D5D2E"/>
    <w:rPr>
      <w:rFonts w:eastAsiaTheme="majorEastAsia" w:cstheme="majorBidi"/>
      <w:i/>
      <w:iCs/>
      <w:color w:val="272727" w:themeColor="text1" w:themeTint="D8"/>
    </w:rPr>
  </w:style>
  <w:style w:type="character" w:customStyle="1" w:styleId="Nadpis9Char">
    <w:name w:val="Nadpis 9 Char"/>
    <w:basedOn w:val="Standardnpsmoodstavce"/>
    <w:link w:val="Nadpis9"/>
    <w:uiPriority w:val="9"/>
    <w:semiHidden/>
    <w:rsid w:val="007D5D2E"/>
    <w:rPr>
      <w:rFonts w:eastAsiaTheme="majorEastAsia" w:cstheme="majorBidi"/>
      <w:color w:val="272727" w:themeColor="text1" w:themeTint="D8"/>
    </w:rPr>
  </w:style>
  <w:style w:type="paragraph" w:styleId="Nzev">
    <w:name w:val="Title"/>
    <w:basedOn w:val="Normln"/>
    <w:next w:val="Normln"/>
    <w:link w:val="NzevChar"/>
    <w:uiPriority w:val="10"/>
    <w:qFormat/>
    <w:rsid w:val="007D5D2E"/>
    <w:pPr>
      <w:spacing w:after="80"/>
      <w:contextualSpacing/>
    </w:pPr>
    <w:rPr>
      <w:rFonts w:asciiTheme="majorHAnsi" w:eastAsiaTheme="majorEastAsia" w:hAnsiTheme="majorHAnsi" w:cstheme="majorBidi"/>
      <w:spacing w:val="-10"/>
      <w:kern w:val="28"/>
      <w:sz w:val="56"/>
      <w:szCs w:val="56"/>
    </w:rPr>
  </w:style>
  <w:style w:type="character" w:customStyle="1" w:styleId="NzevChar">
    <w:name w:val="Název Char"/>
    <w:basedOn w:val="Standardnpsmoodstavce"/>
    <w:link w:val="Nzev"/>
    <w:uiPriority w:val="10"/>
    <w:rsid w:val="007D5D2E"/>
    <w:rPr>
      <w:rFonts w:asciiTheme="majorHAnsi" w:eastAsiaTheme="majorEastAsia" w:hAnsiTheme="majorHAnsi" w:cstheme="majorBidi"/>
      <w:spacing w:val="-10"/>
      <w:kern w:val="28"/>
      <w:sz w:val="56"/>
      <w:szCs w:val="56"/>
    </w:rPr>
  </w:style>
  <w:style w:type="paragraph" w:styleId="Podnadpis">
    <w:name w:val="Subtitle"/>
    <w:basedOn w:val="Normln"/>
    <w:next w:val="Normln"/>
    <w:link w:val="PodnadpisChar"/>
    <w:uiPriority w:val="11"/>
    <w:qFormat/>
    <w:rsid w:val="007D5D2E"/>
    <w:pPr>
      <w:numPr>
        <w:ilvl w:val="1"/>
      </w:numPr>
    </w:pPr>
    <w:rPr>
      <w:rFonts w:eastAsiaTheme="majorEastAsia" w:cstheme="majorBidi"/>
      <w:color w:val="595959" w:themeColor="text1" w:themeTint="A6"/>
      <w:spacing w:val="15"/>
      <w:sz w:val="28"/>
      <w:szCs w:val="28"/>
    </w:rPr>
  </w:style>
  <w:style w:type="character" w:customStyle="1" w:styleId="PodnadpisChar">
    <w:name w:val="Podnadpis Char"/>
    <w:basedOn w:val="Standardnpsmoodstavce"/>
    <w:link w:val="Podnadpis"/>
    <w:uiPriority w:val="11"/>
    <w:rsid w:val="007D5D2E"/>
    <w:rPr>
      <w:rFonts w:eastAsiaTheme="majorEastAsia" w:cstheme="majorBidi"/>
      <w:color w:val="595959" w:themeColor="text1" w:themeTint="A6"/>
      <w:spacing w:val="15"/>
      <w:sz w:val="28"/>
      <w:szCs w:val="28"/>
    </w:rPr>
  </w:style>
  <w:style w:type="paragraph" w:styleId="Citt">
    <w:name w:val="Quote"/>
    <w:basedOn w:val="Normln"/>
    <w:next w:val="Normln"/>
    <w:link w:val="CittChar"/>
    <w:uiPriority w:val="29"/>
    <w:qFormat/>
    <w:rsid w:val="007D5D2E"/>
    <w:pPr>
      <w:spacing w:before="160"/>
      <w:jc w:val="center"/>
    </w:pPr>
    <w:rPr>
      <w:i/>
      <w:iCs/>
      <w:color w:val="404040" w:themeColor="text1" w:themeTint="BF"/>
    </w:rPr>
  </w:style>
  <w:style w:type="character" w:customStyle="1" w:styleId="CittChar">
    <w:name w:val="Citát Char"/>
    <w:basedOn w:val="Standardnpsmoodstavce"/>
    <w:link w:val="Citt"/>
    <w:uiPriority w:val="29"/>
    <w:rsid w:val="007D5D2E"/>
    <w:rPr>
      <w:i/>
      <w:iCs/>
      <w:color w:val="404040" w:themeColor="text1" w:themeTint="BF"/>
    </w:rPr>
  </w:style>
  <w:style w:type="paragraph" w:styleId="Odstavecseseznamem">
    <w:name w:val="List Paragraph"/>
    <w:basedOn w:val="Normln"/>
    <w:uiPriority w:val="34"/>
    <w:qFormat/>
    <w:rsid w:val="007D5D2E"/>
    <w:pPr>
      <w:ind w:left="720"/>
      <w:contextualSpacing/>
    </w:pPr>
  </w:style>
  <w:style w:type="character" w:styleId="Zdraznnintenzivn">
    <w:name w:val="Intense Emphasis"/>
    <w:basedOn w:val="Standardnpsmoodstavce"/>
    <w:uiPriority w:val="21"/>
    <w:qFormat/>
    <w:rsid w:val="007D5D2E"/>
    <w:rPr>
      <w:i/>
      <w:iCs/>
      <w:color w:val="2F5496" w:themeColor="accent1" w:themeShade="BF"/>
    </w:rPr>
  </w:style>
  <w:style w:type="paragraph" w:styleId="Vrazncitt">
    <w:name w:val="Intense Quote"/>
    <w:basedOn w:val="Normln"/>
    <w:next w:val="Normln"/>
    <w:link w:val="VrazncittChar"/>
    <w:uiPriority w:val="30"/>
    <w:qFormat/>
    <w:rsid w:val="007D5D2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VrazncittChar">
    <w:name w:val="Výrazný citát Char"/>
    <w:basedOn w:val="Standardnpsmoodstavce"/>
    <w:link w:val="Vrazncitt"/>
    <w:uiPriority w:val="30"/>
    <w:rsid w:val="007D5D2E"/>
    <w:rPr>
      <w:i/>
      <w:iCs/>
      <w:color w:val="2F5496" w:themeColor="accent1" w:themeShade="BF"/>
    </w:rPr>
  </w:style>
  <w:style w:type="character" w:styleId="Odkazintenzivn">
    <w:name w:val="Intense Reference"/>
    <w:basedOn w:val="Standardnpsmoodstavce"/>
    <w:uiPriority w:val="32"/>
    <w:qFormat/>
    <w:rsid w:val="007D5D2E"/>
    <w:rPr>
      <w:b/>
      <w:bCs/>
      <w:smallCaps/>
      <w:color w:val="2F5496" w:themeColor="accent1" w:themeShade="BF"/>
      <w:spacing w:val="5"/>
    </w:rPr>
  </w:style>
  <w:style w:type="character" w:styleId="Hypertextovodkaz">
    <w:name w:val="Hyperlink"/>
    <w:basedOn w:val="Standardnpsmoodstavce"/>
    <w:uiPriority w:val="99"/>
    <w:semiHidden/>
    <w:unhideWhenUsed/>
    <w:rsid w:val="007D5D2E"/>
    <w:rPr>
      <w:color w:val="0563C1"/>
      <w:u w:val="single"/>
    </w:rPr>
  </w:style>
  <w:style w:type="paragraph" w:styleId="Normlnweb">
    <w:name w:val="Normal (Web)"/>
    <w:basedOn w:val="Normln"/>
    <w:uiPriority w:val="99"/>
    <w:semiHidden/>
    <w:unhideWhenUsed/>
    <w:rsid w:val="007D5D2E"/>
    <w:pPr>
      <w:spacing w:before="100" w:beforeAutospacing="1" w:after="100" w:afterAutospacing="1"/>
    </w:pPr>
    <w:rPr>
      <w:rFonts w:ascii="Times New Roman" w:hAnsi="Times New Roman" w:cs="Times New Roman"/>
      <w:sz w:val="24"/>
      <w:szCs w:val="24"/>
      <w:lang w:eastAsia="cs-CZ"/>
    </w:rPr>
  </w:style>
  <w:style w:type="character" w:styleId="Siln">
    <w:name w:val="Strong"/>
    <w:basedOn w:val="Standardnpsmoodstavce"/>
    <w:uiPriority w:val="22"/>
    <w:qFormat/>
    <w:rsid w:val="007D5D2E"/>
    <w:rPr>
      <w:b/>
      <w:bCs/>
    </w:rPr>
  </w:style>
  <w:style w:type="character" w:styleId="Zdraznn">
    <w:name w:val="Emphasis"/>
    <w:basedOn w:val="Standardnpsmoodstavce"/>
    <w:uiPriority w:val="20"/>
    <w:qFormat/>
    <w:rsid w:val="007D5D2E"/>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258886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cid:image001.png@01DBA974.15458660"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hzscr.cz/hzs-olomouckeho-kraje" TargetMode="External"/><Relationship Id="rId11" Type="http://schemas.openxmlformats.org/officeDocument/2006/relationships/theme" Target="theme/theme1.xml"/><Relationship Id="rId5" Type="http://schemas.openxmlformats.org/officeDocument/2006/relationships/hyperlink" Target="https://www.khsolc.cz/dulezita-sdeleni/dulezita-sdeleni/hustopece-nad-becvou-havarie-28-2-2025"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olk.kopis@hzscr.cz" TargetMode="Externa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597</Words>
  <Characters>3525</Characters>
  <Application>Microsoft Office Word</Application>
  <DocSecurity>0</DocSecurity>
  <Lines>29</Lines>
  <Paragraphs>8</Paragraphs>
  <ScaleCrop>false</ScaleCrop>
  <Company/>
  <LinksUpToDate>false</LinksUpToDate>
  <CharactersWithSpaces>4114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Obec Milotice Bečvou</dc:creator>
  <cp:keywords/>
  <dc:description/>
  <cp:lastModifiedBy>Obec Milotice Bečvou</cp:lastModifiedBy>
  <cp:revision>1</cp:revision>
  <dcterms:created xsi:type="dcterms:W3CDTF">2025-04-14T05:30:00Z</dcterms:created>
  <dcterms:modified xsi:type="dcterms:W3CDTF">2025-04-14T05:30:00Z</dcterms:modified>
</cp:coreProperties>
</file>